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343"/>
      </w:tblGrid>
      <w:tr>
        <w:trPr>
          <w:trHeight w:val="1133"/>
        </w:trPr>
        <w:tc>
          <w:tcPr>
            <w:tcW w:w="6521" w:type="dxa"/>
          </w:tcPr>
          <w:p>
            <w:pPr>
              <w:pStyle w:val="medapstxt05"/>
              <w:rPr>
                <w:rFonts w:ascii="Arial" w:hAnsi="Arial"/>
                <w:lang w:val="ru"/>
              </w:rPr>
            </w:pPr>
            <w:bookmarkStart w:id="0" w:name="_GoBack"/>
            <w:bookmarkEnd w:id="0"/>
            <w:r>
              <w:rPr>
                <w:rFonts w:ascii="Arial" w:hAnsi="Arial"/>
                <w:lang w:val="ru"/>
              </w:rPr>
              <w:t>Коммутаторы SCALANCE XC-200 для Industrial Ethernet – универсальное решение, отвечающее всем требованиям для использования в суровых условиях. Благодаря таким свойствам, как расширенный диапазон температур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  <w:lang w:val="ru"/>
              </w:rPr>
              <w:t>(от -40 °C до +70 °C), и комплексной сертификации, эти коммутаторы могут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  <w:lang w:val="ru"/>
              </w:rPr>
              <w:t>использоваться в самых разных областях промышленности. Наряду с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  <w:lang w:val="ru"/>
              </w:rPr>
              <w:t>вариантами для создания электрических и оптических сетей, коммутатор SCALANCE XC206-2SFP, например, может с помощью двух SFP, подходящих для Гбит, покрывать большие расстояния до 200 км.</w:t>
            </w:r>
          </w:p>
          <w:p>
            <w:pPr>
              <w:pStyle w:val="medapstxt05"/>
              <w:rPr>
                <w:lang w:val="ru"/>
              </w:rPr>
            </w:pPr>
            <w:r>
              <w:rPr>
                <w:rFonts w:ascii="Arial" w:hAnsi="Arial"/>
                <w:lang w:val="ru"/>
              </w:rPr>
              <w:t xml:space="preserve">SCALANCE XC-200 – максимальная гибкость при высокой производительности. </w:t>
            </w:r>
          </w:p>
        </w:tc>
        <w:tc>
          <w:tcPr>
            <w:tcW w:w="3343" w:type="dxa"/>
            <w:vMerge w:val="restart"/>
          </w:tcPr>
          <w:p>
            <w:pPr>
              <w:pStyle w:val="Infotext"/>
              <w:rPr>
                <w:rFonts w:ascii="Arial" w:hAnsi="Arial"/>
                <w:lang w:val="ru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99695</wp:posOffset>
                  </wp:positionV>
                  <wp:extent cx="756936" cy="1260000"/>
                  <wp:effectExtent l="0" t="0" r="508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36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pStyle w:val="Infotext"/>
              <w:rPr>
                <w:rFonts w:ascii="Arial" w:hAnsi="Arial"/>
                <w:lang w:val="ru"/>
              </w:rPr>
            </w:pPr>
          </w:p>
          <w:p>
            <w:pPr>
              <w:pStyle w:val="Infotext"/>
              <w:rPr>
                <w:rFonts w:ascii="Arial" w:hAnsi="Arial"/>
                <w:lang w:val="ru"/>
              </w:rPr>
            </w:pPr>
          </w:p>
          <w:p>
            <w:pPr>
              <w:pStyle w:val="Infotext"/>
              <w:rPr>
                <w:rFonts w:ascii="Arial" w:hAnsi="Arial"/>
                <w:lang w:val="ru"/>
              </w:rPr>
            </w:pPr>
          </w:p>
          <w:p>
            <w:pPr>
              <w:pStyle w:val="Infotext"/>
              <w:rPr>
                <w:rFonts w:ascii="Arial" w:hAnsi="Arial"/>
                <w:lang w:val="ru"/>
              </w:rPr>
            </w:pPr>
          </w:p>
          <w:p>
            <w:pPr>
              <w:pStyle w:val="Infotext"/>
              <w:rPr>
                <w:rFonts w:ascii="Arial" w:hAnsi="Arial"/>
                <w:lang w:val="ru"/>
              </w:rPr>
            </w:pPr>
          </w:p>
          <w:p>
            <w:pPr>
              <w:pStyle w:val="Infotext"/>
              <w:rPr>
                <w:rFonts w:ascii="Arial" w:hAnsi="Arial"/>
                <w:lang w:val="ru"/>
              </w:rPr>
            </w:pPr>
          </w:p>
          <w:p>
            <w:pPr>
              <w:pStyle w:val="Infotext"/>
              <w:rPr>
                <w:rFonts w:ascii="Arial" w:hAnsi="Arial"/>
                <w:lang w:val="ru"/>
              </w:rPr>
            </w:pPr>
          </w:p>
          <w:p>
            <w:pPr>
              <w:pStyle w:val="Infotext"/>
              <w:rPr>
                <w:rFonts w:ascii="Arial" w:hAnsi="Arial"/>
                <w:lang w:val="ru" w:eastAsia="zh-CN"/>
              </w:rPr>
            </w:pPr>
          </w:p>
          <w:p>
            <w:pPr>
              <w:pStyle w:val="Infotext"/>
              <w:rPr>
                <w:rFonts w:ascii="Arial" w:hAnsi="Arial"/>
                <w:lang w:val="ru" w:eastAsia="zh-CN"/>
              </w:rPr>
            </w:pPr>
          </w:p>
          <w:p>
            <w:pPr>
              <w:pStyle w:val="Infotext"/>
              <w:tabs>
                <w:tab w:val="left" w:pos="283"/>
              </w:tabs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140335</wp:posOffset>
                  </wp:positionV>
                  <wp:extent cx="1126490" cy="1223645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90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lang w:val="ru"/>
              </w:rPr>
              <w:tab/>
              <w:t>SCALANCE XC208</w:t>
            </w:r>
          </w:p>
          <w:p>
            <w:pPr>
              <w:pStyle w:val="Infotext"/>
              <w:tabs>
                <w:tab w:val="left" w:pos="567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567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567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1701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1701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1701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1701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1843"/>
              </w:tabs>
              <w:rPr>
                <w:rFonts w:ascii="Arial" w:hAnsi="Arial"/>
                <w:lang w:eastAsia="zh-CN"/>
              </w:rPr>
            </w:pPr>
          </w:p>
          <w:p>
            <w:pPr>
              <w:pStyle w:val="Infotext"/>
              <w:tabs>
                <w:tab w:val="left" w:pos="1843"/>
              </w:tabs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114935</wp:posOffset>
                  </wp:positionV>
                  <wp:extent cx="727075" cy="122364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pStyle w:val="Infotext"/>
              <w:tabs>
                <w:tab w:val="left" w:pos="1701"/>
              </w:tabs>
            </w:pPr>
            <w:r>
              <w:rPr>
                <w:rFonts w:ascii="Arial" w:hAnsi="Arial"/>
                <w:lang w:val="ru"/>
              </w:rPr>
              <w:tab/>
              <w:t>SCALANCE XC216</w:t>
            </w:r>
          </w:p>
        </w:tc>
      </w:tr>
      <w:tr>
        <w:tc>
          <w:tcPr>
            <w:tcW w:w="6521" w:type="dxa"/>
            <w:shd w:val="clear" w:color="auto" w:fill="auto"/>
          </w:tcPr>
          <w:p>
            <w:pPr>
              <w:pStyle w:val="TableContentwhite"/>
              <w:spacing w:before="0" w:after="0"/>
            </w:pPr>
          </w:p>
        </w:tc>
        <w:tc>
          <w:tcPr>
            <w:tcW w:w="3343" w:type="dxa"/>
            <w:vMerge/>
            <w:shd w:val="clear" w:color="auto" w:fill="auto"/>
          </w:tcPr>
          <w:p>
            <w:pPr>
              <w:pStyle w:val="TableContentwhite"/>
            </w:pPr>
          </w:p>
        </w:tc>
      </w:tr>
      <w:tr>
        <w:tc>
          <w:tcPr>
            <w:tcW w:w="6521" w:type="dxa"/>
            <w:shd w:val="clear" w:color="auto" w:fill="BECCD5"/>
          </w:tcPr>
          <w:p>
            <w:pPr>
              <w:pStyle w:val="TableContentwhite"/>
            </w:pPr>
            <w:r>
              <w:rPr>
                <w:rFonts w:ascii="Arial" w:hAnsi="Arial"/>
                <w:bCs/>
                <w:lang w:val="ru"/>
              </w:rPr>
              <w:t>Преимущества для клиента</w:t>
            </w:r>
          </w:p>
        </w:tc>
        <w:tc>
          <w:tcPr>
            <w:tcW w:w="3343" w:type="dxa"/>
            <w:vMerge/>
            <w:shd w:val="clear" w:color="auto" w:fill="BECCD5"/>
          </w:tcPr>
          <w:p>
            <w:pPr>
              <w:pStyle w:val="TableContentwhite"/>
            </w:pPr>
          </w:p>
        </w:tc>
      </w:tr>
      <w:tr>
        <w:tc>
          <w:tcPr>
            <w:tcW w:w="6521" w:type="dxa"/>
            <w:tcBorders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>Экономичное проектирование линейных и кольцевых структур Industrial Ethernet или структур типа «звезда» для сетей, в которых требуется высокий уровень доступности или дистанционная диагностика</w:t>
            </w:r>
          </w:p>
        </w:tc>
        <w:tc>
          <w:tcPr>
            <w:tcW w:w="3343" w:type="dxa"/>
            <w:vMerge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>Быстрый и простой монтаж в распределительной коробке или шкафу управления; как настенный монтаж, так и установка на стандартную монтажную шину или профильную шину SIMATIC</w:t>
            </w:r>
          </w:p>
        </w:tc>
        <w:tc>
          <w:tcPr>
            <w:tcW w:w="3343" w:type="dxa"/>
            <w:vMerge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>Широкие возможности использования благодаря наличию различных функций (VLAN, HRP stand by, MRP, SNMP, RSTP)</w:t>
            </w:r>
          </w:p>
        </w:tc>
        <w:tc>
          <w:tcPr>
            <w:tcW w:w="3343" w:type="dxa"/>
            <w:vMerge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 xml:space="preserve">Комплексная диагностика через SNMP, интегрированный веб-сервер и CLI, дополнительно – простая диагностика с помощью удаленного диагностического оборудования со светодиодами </w:t>
            </w:r>
          </w:p>
        </w:tc>
        <w:tc>
          <w:tcPr>
            <w:tcW w:w="3343" w:type="dxa"/>
          </w:tcPr>
          <w:p>
            <w:pPr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 xml:space="preserve">  </w:t>
            </w: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>Совместимые с PROFINET штекерные разъемы RJ45, обеспечивающие дополнительную разгрузку кабеля от натяжения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  <w:lang w:val="ru"/>
              </w:rPr>
              <w:t>и</w:t>
            </w:r>
            <w:r>
              <w:rPr>
                <w:rFonts w:ascii="Arial" w:hAnsi="Arial"/>
                <w:lang w:eastAsia="zh-CN"/>
              </w:rPr>
              <w:t> </w:t>
            </w:r>
            <w:r>
              <w:rPr>
                <w:rFonts w:ascii="Arial" w:hAnsi="Arial"/>
                <w:lang w:val="ru"/>
              </w:rPr>
              <w:t>изгибов за счет фиксации на корпусе</w:t>
            </w:r>
          </w:p>
        </w:tc>
        <w:tc>
          <w:tcPr>
            <w:tcW w:w="3343" w:type="dxa"/>
          </w:tcPr>
          <w:p>
            <w:pPr>
              <w:rPr>
                <w:noProof/>
              </w:rPr>
            </w:pPr>
          </w:p>
        </w:tc>
      </w:tr>
    </w:tbl>
    <w:p>
      <w:pPr>
        <w:tabs>
          <w:tab w:val="left" w:pos="6521"/>
        </w:tabs>
        <w:rPr>
          <w:rFonts w:ascii="Arial" w:hAnsi="Arial"/>
          <w:noProof/>
          <w:sz w:val="11"/>
        </w:rPr>
      </w:pPr>
      <w:r>
        <w:rPr>
          <w:noProof/>
          <w:sz w:val="11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2218055</wp:posOffset>
                </wp:positionV>
                <wp:extent cx="4142105" cy="168465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105" cy="1684655"/>
                        </a:xfrm>
                        <a:prstGeom prst="rect">
                          <a:avLst/>
                        </a:prstGeom>
                        <a:gradFill>
                          <a:gsLst>
                            <a:gs pos="50000">
                              <a:srgbClr val="009AA3">
                                <a:alpha val="85000"/>
                              </a:srgbClr>
                            </a:gs>
                            <a:gs pos="0">
                              <a:srgbClr val="4DBDC4">
                                <a:alpha val="85000"/>
                              </a:srgbClr>
                            </a:gs>
                            <a:gs pos="100000">
                              <a:srgbClr val="0099D8">
                                <a:alpha val="85000"/>
                              </a:srgbClr>
                            </a:gs>
                          </a:gsLst>
                          <a:lin ang="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TitleHeadline"/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sz w:val="44"/>
                                <w:szCs w:val="44"/>
                                <w:lang w:val="ru"/>
                              </w:rPr>
                              <w:t>SCALANCE XC-200</w:t>
                            </w:r>
                          </w:p>
                          <w:p>
                            <w:pPr>
                              <w:pStyle w:val="TitleHeadline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  <w:lang w:val="ru"/>
                              </w:rPr>
                              <w:t>Управляемые коммутаторы Industrial Ethernet</w:t>
                            </w:r>
                          </w:p>
                          <w:p>
                            <w:pPr>
                              <w:pStyle w:val="TitleHeadline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  <w:lang w:val="ru"/>
                              </w:rPr>
                              <w:t>Удобное универсальное решение с гибкими возможностями использования</w:t>
                            </w:r>
                          </w:p>
                          <w:p>
                            <w:pPr>
                              <w:pStyle w:val="FPSubtitle"/>
                              <w:rPr>
                                <w:rFonts w:ascii="Arial" w:hAnsi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lang w:val="ru"/>
                              </w:rPr>
                              <w:t>Основная информация</w:t>
                            </w:r>
                          </w:p>
                        </w:txbxContent>
                      </wps:txbx>
                      <wps:bodyPr rot="0" vert="horz" wrap="square" lIns="21600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74.65pt;width:326.15pt;height:132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" fillcolor="#4dbdc4" stroked="f">
                <v:fill opacity="55705f" color2="#0099d8" o:opacity2="55705f" angle="90" colors="0 #4dbdc4;.5 #009aa3;1 #0099d8" focus="100%" type="gradient">
                  <o:fill v:ext="view" type="gradientUnscaled"/>
                </v:fill>
                <v:textbox inset="6mm,3mm">
                  <w:txbxContent>
                    <w:p w:rsidR="00967EA2" w:rsidRPr="00D02D12" w:rsidRDefault="00C2028A">
                      <w:pPr>
                        <w:pStyle w:val="TitleHeadline"/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  <w:r w:rsidRPr="00D02D12">
                        <w:rPr>
                          <w:rFonts w:ascii="Arial" w:hAnsi="Arial"/>
                          <w:sz w:val="44"/>
                          <w:szCs w:val="44"/>
                          <w:lang w:val="ru"/>
                        </w:rPr>
                        <w:t>SCALANCE XC-200</w:t>
                      </w:r>
                    </w:p>
                    <w:p w:rsidR="00967EA2" w:rsidRPr="00D02D12" w:rsidRDefault="00C2028A">
                      <w:pPr>
                        <w:pStyle w:val="TitleHeadline"/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  <w:r w:rsidRPr="00D02D12">
                        <w:rPr>
                          <w:rFonts w:ascii="Arial" w:hAnsi="Arial"/>
                          <w:sz w:val="26"/>
                          <w:szCs w:val="26"/>
                          <w:lang w:val="ru"/>
                        </w:rPr>
                        <w:t>Управляемые коммутаторы Industrial Ethernet</w:t>
                      </w:r>
                    </w:p>
                    <w:p w:rsidR="00967EA2" w:rsidRPr="00D02D12" w:rsidRDefault="00C2028A">
                      <w:pPr>
                        <w:pStyle w:val="TitleHeadline"/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  <w:r w:rsidRPr="00D02D12">
                        <w:rPr>
                          <w:rFonts w:ascii="Arial" w:hAnsi="Arial"/>
                          <w:sz w:val="26"/>
                          <w:szCs w:val="26"/>
                          <w:lang w:val="ru"/>
                        </w:rPr>
                        <w:t>Удобное универсальное решение с гибкими возможностями использования</w:t>
                      </w:r>
                    </w:p>
                    <w:p w:rsidR="00967EA2" w:rsidRPr="00D02D12" w:rsidRDefault="00C2028A">
                      <w:pPr>
                        <w:pStyle w:val="FPSubtitle"/>
                        <w:rPr>
                          <w:rFonts w:ascii="Arial" w:hAnsi="Arial"/>
                          <w:b w:val="0"/>
                        </w:rPr>
                      </w:pPr>
                      <w:r w:rsidRPr="00D02D12">
                        <w:rPr>
                          <w:rFonts w:ascii="Arial" w:hAnsi="Arial"/>
                          <w:b w:val="0"/>
                          <w:lang w:val="ru"/>
                        </w:rPr>
                        <w:t>Основная информация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rFonts w:ascii="Arial" w:hAnsi="Arial"/>
          <w:noProof/>
          <w:sz w:val="11"/>
          <w:lang w:val="ru"/>
        </w:rPr>
        <w:tab/>
        <w:t xml:space="preserve">   </w:t>
      </w:r>
    </w:p>
    <w:tbl>
      <w:tblPr>
        <w:tblStyle w:val="Tabellenraster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343"/>
      </w:tblGrid>
      <w:tr>
        <w:tc>
          <w:tcPr>
            <w:tcW w:w="6521" w:type="dxa"/>
            <w:shd w:val="clear" w:color="auto" w:fill="BECCD5"/>
          </w:tcPr>
          <w:p>
            <w:pPr>
              <w:pStyle w:val="TableContentwhite"/>
            </w:pPr>
            <w:r>
              <w:rPr>
                <w:rFonts w:ascii="Arial" w:hAnsi="Arial"/>
                <w:bCs/>
                <w:lang w:val="ru"/>
              </w:rPr>
              <w:t>Основные особенности</w:t>
            </w:r>
          </w:p>
        </w:tc>
        <w:tc>
          <w:tcPr>
            <w:tcW w:w="3343" w:type="dxa"/>
            <w:vMerge w:val="restart"/>
            <w:shd w:val="clear" w:color="auto" w:fill="auto"/>
          </w:tcPr>
          <w:p>
            <w:pPr>
              <w:pStyle w:val="Infotext"/>
              <w:rPr>
                <w:rFonts w:ascii="Arial" w:hAnsi="Arial"/>
                <w:noProof/>
                <w:lang w:eastAsia="zh-CN"/>
              </w:rPr>
            </w:pPr>
            <w:r>
              <w:rPr>
                <w:rFonts w:ascii="Arial" w:hAnsi="Arial"/>
                <w:noProof/>
                <w:lang w:val="ru"/>
              </w:rPr>
              <w:t xml:space="preserve"> SCALANCE XC206-2SFP</w:t>
            </w:r>
          </w:p>
          <w:p>
            <w:pPr>
              <w:pStyle w:val="Infotext"/>
              <w:spacing w:before="0"/>
              <w:jc w:val="right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1196340</wp:posOffset>
                      </wp:positionV>
                      <wp:extent cx="1276350" cy="1403985"/>
                      <wp:effectExtent l="0" t="0" r="0" b="0"/>
                      <wp:wrapNone/>
                      <wp:docPr id="4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ascii="Arial" w:hAnsi="Arial"/>
                                      <w:lang w:val="ru"/>
                                    </w:rPr>
                                    <w:t>SCALANCE XC224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7" type="#_x0000_t202" style="position:absolute;left:0;text-align:left;margin-left:78.7pt;margin-top:94.2pt;width:100.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" filled="f" stroked="f">
                      <v:textbox style="mso-fit-shape-to-text:t">
                        <w:txbxContent>
                          <w:p w:rsidR="008E5340" w:rsidRDefault="008E5340">
                            <w:r w:rsidRPr="00D02D12">
                              <w:rPr>
                                <w:rFonts w:ascii="Arial" w:hAnsi="Arial"/>
                                <w:lang w:val="ru"/>
                              </w:rPr>
                              <w:t>SCALANCE XC224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>
                  <wp:extent cx="1122680" cy="1223645"/>
                  <wp:effectExtent l="0" t="0" r="127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Infotext"/>
              <w:rPr>
                <w:rFonts w:ascii="Arial" w:hAnsi="Arial"/>
                <w:lang w:eastAsia="zh-CN"/>
              </w:rPr>
            </w:pPr>
          </w:p>
          <w:p>
            <w:pPr>
              <w:pStyle w:val="Infotext"/>
              <w:rPr>
                <w:rFonts w:ascii="Arial" w:hAnsi="Arial"/>
                <w:lang w:eastAsia="zh-CN"/>
              </w:rPr>
            </w:pPr>
          </w:p>
          <w:p>
            <w:pPr>
              <w:pStyle w:val="Infotext"/>
              <w:rPr>
                <w:rFonts w:ascii="Arial" w:hAnsi="Arial"/>
              </w:rPr>
            </w:pPr>
          </w:p>
          <w:p>
            <w:pPr>
              <w:pStyle w:val="Infotext"/>
              <w:rPr>
                <w:rFonts w:ascii="Arial" w:hAnsi="Arial"/>
              </w:rPr>
            </w:pPr>
          </w:p>
          <w:p>
            <w:pPr>
              <w:pStyle w:val="Infotext"/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1701"/>
              </w:tabs>
              <w:rPr>
                <w:rFonts w:ascii="Arial" w:hAnsi="Arial"/>
                <w:lang w:eastAsia="zh-CN"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>Высокая доступность оборудования благодаря наличию резервного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  <w:lang w:val="ru"/>
              </w:rPr>
              <w:t>источника питания, резервные сетевые структуры, предотвращение петель коммутации, простая замена устройств благодаря съемному модулю памяти C–PLUG</w:t>
            </w:r>
          </w:p>
        </w:tc>
        <w:tc>
          <w:tcPr>
            <w:tcW w:w="3343" w:type="dxa"/>
            <w:vMerge/>
            <w:shd w:val="clear" w:color="auto" w:fill="auto"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>Эксплуатация во взрывоопасных зонах (ATEX Zone 2, IECEx)</w:t>
            </w:r>
          </w:p>
        </w:tc>
        <w:tc>
          <w:tcPr>
            <w:tcW w:w="3343" w:type="dxa"/>
            <w:vMerge/>
            <w:shd w:val="clear" w:color="auto" w:fill="auto"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>Возможность передачи Гбит и покрытия до 200 км между двумя SCALANCE XC206-2SFP</w:t>
            </w:r>
          </w:p>
        </w:tc>
        <w:tc>
          <w:tcPr>
            <w:tcW w:w="3343" w:type="dxa"/>
            <w:vMerge/>
            <w:shd w:val="clear" w:color="auto" w:fill="auto"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keepNext/>
              <w:ind w:hanging="357"/>
            </w:pPr>
            <w:r>
              <w:rPr>
                <w:rFonts w:ascii="Arial" w:hAnsi="Arial"/>
                <w:lang w:val="ru"/>
              </w:rPr>
              <w:lastRenderedPageBreak/>
              <w:t>Эксплуатационная надежность в промышленной среде, например, благодаря прочному корпусу и расширенному диапазону температур от -40 °C до +70 °C</w:t>
            </w:r>
          </w:p>
        </w:tc>
        <w:tc>
          <w:tcPr>
            <w:tcW w:w="3343" w:type="dxa"/>
            <w:vMerge/>
            <w:shd w:val="clear" w:color="auto" w:fill="auto"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>Поддержка коммуникации в реальном времени на выбор посредством PROFINET или EtherNet/IP</w:t>
            </w:r>
          </w:p>
        </w:tc>
        <w:tc>
          <w:tcPr>
            <w:tcW w:w="3343" w:type="dxa"/>
            <w:vMerge/>
            <w:shd w:val="clear" w:color="auto" w:fill="auto"/>
          </w:tcPr>
          <w:p>
            <w:pPr>
              <w:rPr>
                <w:noProof/>
              </w:rPr>
            </w:pPr>
          </w:p>
        </w:tc>
      </w:tr>
    </w:tbl>
    <w:p>
      <w:pPr>
        <w:rPr>
          <w:rFonts w:ascii="Arial" w:hAnsi="Arial"/>
          <w:noProof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147"/>
        <w:gridCol w:w="2020"/>
        <w:gridCol w:w="411"/>
        <w:gridCol w:w="1237"/>
        <w:gridCol w:w="301"/>
        <w:gridCol w:w="3060"/>
      </w:tblGrid>
      <w:tr>
        <w:tc>
          <w:tcPr>
            <w:tcW w:w="9864" w:type="dxa"/>
            <w:gridSpan w:val="7"/>
            <w:shd w:val="clear" w:color="auto" w:fill="BECCD5"/>
          </w:tcPr>
          <w:p>
            <w:pPr>
              <w:pStyle w:val="TableContentwhite"/>
            </w:pPr>
            <w:r>
              <w:rPr>
                <w:rFonts w:ascii="Arial" w:hAnsi="Arial"/>
                <w:bCs/>
                <w:lang w:val="ru"/>
              </w:rPr>
              <w:t xml:space="preserve">Примеры использования </w:t>
            </w:r>
          </w:p>
        </w:tc>
      </w:tr>
      <w:tr>
        <w:trPr>
          <w:trHeight w:val="2925"/>
        </w:trPr>
        <w:tc>
          <w:tcPr>
            <w:tcW w:w="9864" w:type="dxa"/>
            <w:gridSpan w:val="7"/>
            <w:shd w:val="clear" w:color="auto" w:fill="auto"/>
          </w:tcPr>
          <w:p>
            <w:pPr>
              <w:tabs>
                <w:tab w:val="left" w:pos="5529"/>
              </w:tabs>
              <w:ind w:left="142"/>
              <w:rPr>
                <w:noProof/>
                <w:lang w:val="ru" w:eastAsia="zh-CN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3567193</wp:posOffset>
                  </wp:positionH>
                  <wp:positionV relativeFrom="paragraph">
                    <wp:posOffset>126365</wp:posOffset>
                  </wp:positionV>
                  <wp:extent cx="2383507" cy="1979560"/>
                  <wp:effectExtent l="0" t="0" r="0" b="1905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94" r="8851"/>
                          <a:stretch/>
                        </pic:blipFill>
                        <pic:spPr bwMode="auto">
                          <a:xfrm>
                            <a:off x="0" y="0"/>
                            <a:ext cx="2383507" cy="197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noProof/>
                <w:sz w:val="17"/>
                <w:szCs w:val="17"/>
                <w:lang w:val="ru"/>
              </w:rPr>
              <w:t xml:space="preserve"> </w:t>
            </w:r>
            <w:r>
              <w:rPr>
                <w:noProof/>
                <w:sz w:val="17"/>
                <w:szCs w:val="17"/>
                <w:lang w:val="de-DE" w:eastAsia="de-DE"/>
              </w:rPr>
              <w:drawing>
                <wp:inline distT="0" distB="0" distL="0" distR="0">
                  <wp:extent cx="2848233" cy="1980000"/>
                  <wp:effectExtent l="0" t="0" r="9525" b="1270"/>
                  <wp:docPr id="15" name="Grafik 15" descr="https://mall.industry.siemens.com/collaterals/files/49/JPG/G_IK10_DE_50703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ll.industry.siemens.com/collaterals/files/49/JPG/G_IK10_DE_50703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233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lang w:val="ru"/>
              </w:rPr>
              <w:tab/>
            </w:r>
            <w:r>
              <w:rPr>
                <w:rFonts w:ascii="Arial" w:hAnsi="Arial"/>
                <w:noProof/>
                <w:lang w:val="ru"/>
              </w:rPr>
              <w:br/>
              <w:t>Высокая доступность оборудования благодаря резервным</w:t>
            </w:r>
            <w:r>
              <w:rPr>
                <w:rFonts w:ascii="Arial" w:hAnsi="Arial"/>
                <w:noProof/>
                <w:lang w:val="ru"/>
              </w:rPr>
              <w:tab/>
              <w:t>SCALANCE XC208 с SIMATIC S7-1500</w:t>
            </w:r>
            <w:r>
              <w:rPr>
                <w:rFonts w:ascii="Arial" w:hAnsi="Arial"/>
                <w:noProof/>
                <w:lang w:val="ru"/>
              </w:rPr>
              <w:br/>
              <w:t>сетевым структурам</w:t>
            </w:r>
            <w:r>
              <w:rPr>
                <w:rFonts w:ascii="Arial" w:hAnsi="Arial" w:cs="Arial" w:hint="eastAsia"/>
                <w:noProof/>
                <w:lang w:val="ru" w:eastAsia="zh-CN"/>
              </w:rPr>
              <w:t xml:space="preserve"> </w:t>
            </w:r>
            <w:r>
              <w:rPr>
                <w:rFonts w:ascii="Arial" w:hAnsi="Arial"/>
                <w:noProof/>
                <w:lang w:val="ru"/>
              </w:rPr>
              <w:t>в кольце MRP</w:t>
            </w:r>
            <w:r>
              <w:rPr>
                <w:rFonts w:ascii="Arial" w:hAnsi="Arial"/>
                <w:noProof/>
                <w:lang w:val="ru"/>
              </w:rPr>
              <w:br/>
            </w:r>
          </w:p>
        </w:tc>
      </w:tr>
      <w:tr>
        <w:tc>
          <w:tcPr>
            <w:tcW w:w="9864" w:type="dxa"/>
            <w:gridSpan w:val="7"/>
            <w:shd w:val="clear" w:color="auto" w:fill="BECCD5"/>
          </w:tcPr>
          <w:p>
            <w:pPr>
              <w:pStyle w:val="TableContentwhite"/>
            </w:pPr>
            <w:r>
              <w:rPr>
                <w:rFonts w:ascii="Arial" w:hAnsi="Arial"/>
                <w:bCs/>
                <w:lang w:val="ru"/>
              </w:rPr>
              <w:t>Ассортимент продукции в деталях</w:t>
            </w:r>
          </w:p>
        </w:tc>
      </w:tr>
      <w:tr>
        <w:tc>
          <w:tcPr>
            <w:tcW w:w="2835" w:type="dxa"/>
            <w:gridSpan w:val="2"/>
            <w:shd w:val="clear" w:color="auto" w:fill="D5DEE4"/>
          </w:tcPr>
          <w:p>
            <w:pPr>
              <w:pStyle w:val="TableContentgrey"/>
            </w:pPr>
            <w:r>
              <w:rPr>
                <w:rFonts w:ascii="Arial" w:hAnsi="Arial"/>
                <w:bCs/>
                <w:lang w:val="ru"/>
              </w:rPr>
              <w:t>Изделие</w:t>
            </w:r>
          </w:p>
        </w:tc>
        <w:tc>
          <w:tcPr>
            <w:tcW w:w="3969" w:type="dxa"/>
            <w:gridSpan w:val="4"/>
            <w:shd w:val="clear" w:color="auto" w:fill="D5DEE4"/>
          </w:tcPr>
          <w:p>
            <w:pPr>
              <w:pStyle w:val="TableContentwhite"/>
              <w:rPr>
                <w:color w:val="8CA3AF"/>
              </w:rPr>
            </w:pPr>
            <w:r>
              <w:rPr>
                <w:rFonts w:ascii="Arial" w:hAnsi="Arial"/>
                <w:bCs/>
                <w:color w:val="8CA3AF"/>
                <w:lang w:val="ru"/>
              </w:rPr>
              <w:t>Описание</w:t>
            </w:r>
          </w:p>
        </w:tc>
        <w:tc>
          <w:tcPr>
            <w:tcW w:w="3060" w:type="dxa"/>
            <w:shd w:val="clear" w:color="auto" w:fill="D5DEE4"/>
          </w:tcPr>
          <w:p>
            <w:pPr>
              <w:pStyle w:val="TableContentgrey"/>
            </w:pPr>
            <w:r>
              <w:rPr>
                <w:rFonts w:ascii="Arial" w:hAnsi="Arial"/>
                <w:bCs/>
                <w:lang w:val="ru"/>
              </w:rPr>
              <w:t>Заказной номер</w:t>
            </w:r>
          </w:p>
        </w:tc>
      </w:tr>
      <w:tr>
        <w:tc>
          <w:tcPr>
            <w:tcW w:w="2835" w:type="dxa"/>
            <w:gridSpan w:val="2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SCALANCE XC206-2</w:t>
            </w:r>
          </w:p>
        </w:tc>
        <w:tc>
          <w:tcPr>
            <w:tcW w:w="3969" w:type="dxa"/>
            <w:gridSpan w:val="4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 портов RJ45, 100 Мбит/с;</w:t>
            </w:r>
            <w:r>
              <w:rPr>
                <w:rFonts w:ascii="Arial" w:hAnsi="Arial"/>
                <w:noProof/>
                <w:lang w:val="ru"/>
              </w:rPr>
              <w:br/>
              <w:t xml:space="preserve">2 порта MM FO ST (многомодовый, </w:t>
            </w:r>
            <w:r>
              <w:rPr>
                <w:rFonts w:ascii="Arial" w:hAnsi="Arial" w:hint="eastAsia"/>
                <w:noProof/>
                <w:lang w:val="ru" w:eastAsia="zh-CN"/>
              </w:rPr>
              <w:br/>
            </w:r>
            <w:r>
              <w:rPr>
                <w:rFonts w:ascii="Arial" w:hAnsi="Arial"/>
                <w:noProof/>
                <w:lang w:val="ru"/>
              </w:rPr>
              <w:t>макс. 5 км)</w:t>
            </w:r>
          </w:p>
        </w:tc>
        <w:tc>
          <w:tcPr>
            <w:tcW w:w="3060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6GK5206-2BB00-2AC2</w:t>
            </w:r>
          </w:p>
        </w:tc>
      </w:tr>
      <w:tr>
        <w:tc>
          <w:tcPr>
            <w:tcW w:w="2835" w:type="dxa"/>
            <w:gridSpan w:val="2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SCALANCE XC206-2</w:t>
            </w:r>
          </w:p>
        </w:tc>
        <w:tc>
          <w:tcPr>
            <w:tcW w:w="3969" w:type="dxa"/>
            <w:gridSpan w:val="4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 портов RJ45, 100 Мбит/с;</w:t>
            </w:r>
            <w:r>
              <w:rPr>
                <w:rFonts w:ascii="Arial" w:hAnsi="Arial"/>
                <w:noProof/>
                <w:lang w:val="ru"/>
              </w:rPr>
              <w:br/>
              <w:t xml:space="preserve">2 порта MM FO SC (многомодовый, </w:t>
            </w:r>
            <w:r>
              <w:rPr>
                <w:rFonts w:ascii="Arial" w:hAnsi="Arial" w:hint="eastAsia"/>
                <w:noProof/>
                <w:lang w:val="ru" w:eastAsia="zh-CN"/>
              </w:rPr>
              <w:br/>
            </w:r>
            <w:r>
              <w:rPr>
                <w:rFonts w:ascii="Arial" w:hAnsi="Arial"/>
                <w:noProof/>
                <w:lang w:val="ru"/>
              </w:rPr>
              <w:t>макс. 5 км)</w:t>
            </w:r>
          </w:p>
        </w:tc>
        <w:tc>
          <w:tcPr>
            <w:tcW w:w="3060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6GK5206-2BD00-2AC2</w:t>
            </w:r>
          </w:p>
        </w:tc>
      </w:tr>
      <w:tr>
        <w:tc>
          <w:tcPr>
            <w:tcW w:w="2835" w:type="dxa"/>
            <w:gridSpan w:val="2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SCALANCE XC206-2SFP</w:t>
            </w:r>
          </w:p>
        </w:tc>
        <w:tc>
          <w:tcPr>
            <w:tcW w:w="3969" w:type="dxa"/>
            <w:gridSpan w:val="4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 портов RJ45, 10/100 Мбит/с;</w:t>
            </w:r>
            <w:r>
              <w:rPr>
                <w:rFonts w:ascii="Arial" w:hAnsi="Arial"/>
                <w:noProof/>
                <w:lang w:val="ru"/>
              </w:rPr>
              <w:br/>
              <w:t>2 SFP, 100/1000 Мбит/с</w:t>
            </w:r>
          </w:p>
        </w:tc>
        <w:tc>
          <w:tcPr>
            <w:tcW w:w="3060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6GK5206-2BS00-2AC2</w:t>
            </w:r>
          </w:p>
        </w:tc>
      </w:tr>
      <w:tr>
        <w:tc>
          <w:tcPr>
            <w:tcW w:w="2835" w:type="dxa"/>
            <w:gridSpan w:val="2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SCALANCE XC208</w:t>
            </w:r>
          </w:p>
        </w:tc>
        <w:tc>
          <w:tcPr>
            <w:tcW w:w="3969" w:type="dxa"/>
            <w:gridSpan w:val="4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8 портов RJ45, 10/100 Мбит/с</w:t>
            </w:r>
          </w:p>
        </w:tc>
        <w:tc>
          <w:tcPr>
            <w:tcW w:w="3060" w:type="dxa"/>
            <w:tcBorders>
              <w:top w:val="single" w:sz="4" w:space="0" w:color="BECCD5"/>
              <w:bottom w:val="single" w:sz="4" w:space="0" w:color="BECCD5"/>
            </w:tcBorders>
            <w:shd w:val="clear" w:color="auto" w:fill="auto"/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6GK5208-0BA00-2AC2</w:t>
            </w:r>
          </w:p>
        </w:tc>
      </w:tr>
      <w:tr>
        <w:tc>
          <w:tcPr>
            <w:tcW w:w="2835" w:type="dxa"/>
            <w:gridSpan w:val="2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SCALANCE XC216</w:t>
            </w:r>
          </w:p>
        </w:tc>
        <w:tc>
          <w:tcPr>
            <w:tcW w:w="3969" w:type="dxa"/>
            <w:gridSpan w:val="4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  <w:color w:val="FF0000"/>
              </w:rPr>
            </w:pPr>
            <w:r>
              <w:rPr>
                <w:rFonts w:ascii="Arial" w:hAnsi="Arial"/>
                <w:noProof/>
                <w:lang w:val="ru"/>
              </w:rPr>
              <w:t>16 портов RJ45, 10/100 Мбит/с</w:t>
            </w:r>
          </w:p>
        </w:tc>
        <w:tc>
          <w:tcPr>
            <w:tcW w:w="3060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6GK5216-0BA00-2AC2</w:t>
            </w:r>
          </w:p>
        </w:tc>
      </w:tr>
      <w:tr>
        <w:tc>
          <w:tcPr>
            <w:tcW w:w="2835" w:type="dxa"/>
            <w:gridSpan w:val="2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SCALANCE XC224</w:t>
            </w:r>
          </w:p>
        </w:tc>
        <w:tc>
          <w:tcPr>
            <w:tcW w:w="3969" w:type="dxa"/>
            <w:gridSpan w:val="4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  <w:color w:val="FF0000"/>
              </w:rPr>
            </w:pPr>
            <w:r>
              <w:rPr>
                <w:rFonts w:ascii="Arial" w:hAnsi="Arial"/>
                <w:noProof/>
                <w:lang w:val="ru"/>
              </w:rPr>
              <w:t>24 порта RJ45, 10/100 Мбит/с</w:t>
            </w:r>
          </w:p>
        </w:tc>
        <w:tc>
          <w:tcPr>
            <w:tcW w:w="3060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6GK5224-0BA00-2AC2</w:t>
            </w:r>
          </w:p>
        </w:tc>
      </w:tr>
      <w:tr>
        <w:tc>
          <w:tcPr>
            <w:tcW w:w="9864" w:type="dxa"/>
            <w:gridSpan w:val="7"/>
            <w:shd w:val="clear" w:color="auto" w:fill="BECCD5"/>
          </w:tcPr>
          <w:p>
            <w:pPr>
              <w:pStyle w:val="TableContentwhite"/>
            </w:pPr>
            <w:r>
              <w:rPr>
                <w:rFonts w:ascii="Arial" w:hAnsi="Arial"/>
                <w:bCs/>
                <w:lang w:val="ru"/>
              </w:rPr>
              <w:t>Аксессуары</w:t>
            </w:r>
          </w:p>
        </w:tc>
      </w:tr>
      <w:tr>
        <w:tc>
          <w:tcPr>
            <w:tcW w:w="2835" w:type="dxa"/>
            <w:gridSpan w:val="2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SIMATIC PM 1507</w:t>
            </w:r>
          </w:p>
        </w:tc>
        <w:tc>
          <w:tcPr>
            <w:tcW w:w="3969" w:type="dxa"/>
            <w:gridSpan w:val="4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  <w:color w:val="FF0000"/>
              </w:rPr>
            </w:pPr>
            <w:r>
              <w:rPr>
                <w:rFonts w:ascii="Arial" w:hAnsi="Arial"/>
                <w:noProof/>
                <w:lang w:val="ru"/>
              </w:rPr>
              <w:t>Регулируемый источник питания 24 В/3 A для SIMATIC S7-1500</w:t>
            </w:r>
            <w:r>
              <w:rPr>
                <w:rFonts w:ascii="Arial" w:hAnsi="Arial"/>
                <w:noProof/>
                <w:lang w:val="ru"/>
              </w:rPr>
              <w:br/>
              <w:t xml:space="preserve">Вход: 120/230 В переменного тока; </w:t>
            </w:r>
            <w:r>
              <w:rPr>
                <w:rFonts w:ascii="Arial" w:hAnsi="Arial" w:hint="eastAsia"/>
                <w:noProof/>
                <w:lang w:val="ru" w:eastAsia="zh-CN"/>
              </w:rPr>
              <w:br/>
            </w:r>
            <w:r>
              <w:rPr>
                <w:rFonts w:ascii="Arial" w:hAnsi="Arial"/>
                <w:noProof/>
                <w:lang w:val="ru"/>
              </w:rPr>
              <w:t>выход: 24 В/3 A постоянного тока</w:t>
            </w:r>
          </w:p>
        </w:tc>
        <w:tc>
          <w:tcPr>
            <w:tcW w:w="3060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6EP1332-4BA00</w:t>
            </w:r>
          </w:p>
        </w:tc>
      </w:tr>
      <w:tr>
        <w:tc>
          <w:tcPr>
            <w:tcW w:w="2835" w:type="dxa"/>
            <w:gridSpan w:val="2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Нажимная клеммная колодка, сигнальный контакт</w:t>
            </w:r>
          </w:p>
        </w:tc>
        <w:tc>
          <w:tcPr>
            <w:tcW w:w="3969" w:type="dxa"/>
            <w:gridSpan w:val="4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  <w:color w:val="FF0000"/>
              </w:rPr>
            </w:pPr>
            <w:r>
              <w:rPr>
                <w:rFonts w:ascii="Arial" w:hAnsi="Arial"/>
                <w:noProof/>
                <w:lang w:val="ru"/>
              </w:rPr>
              <w:t>2-полюсная клеммная колодка для сигнального контакта (24 В постоянного тока); для SCALANCE X/W/S/M</w:t>
            </w:r>
          </w:p>
        </w:tc>
        <w:tc>
          <w:tcPr>
            <w:tcW w:w="3060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6GK5980-0BB00-0AA5</w:t>
            </w:r>
          </w:p>
        </w:tc>
      </w:tr>
      <w:tr>
        <w:tc>
          <w:tcPr>
            <w:tcW w:w="2835" w:type="dxa"/>
            <w:gridSpan w:val="2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Нажимная клеммная колодка, электропитание</w:t>
            </w:r>
          </w:p>
        </w:tc>
        <w:tc>
          <w:tcPr>
            <w:tcW w:w="3969" w:type="dxa"/>
            <w:gridSpan w:val="4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  <w:color w:val="FF0000"/>
              </w:rPr>
            </w:pPr>
            <w:r>
              <w:rPr>
                <w:rFonts w:ascii="Arial" w:hAnsi="Arial"/>
                <w:noProof/>
                <w:lang w:val="ru"/>
              </w:rPr>
              <w:t>4-полюсная клеммная колодка для электропитания (24 В постоянного тока); для SCALANCE X/W/S/M</w:t>
            </w:r>
          </w:p>
        </w:tc>
        <w:tc>
          <w:tcPr>
            <w:tcW w:w="3060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6GK5980-1DB00-0AA5</w:t>
            </w:r>
          </w:p>
        </w:tc>
      </w:tr>
      <w:tr>
        <w:tc>
          <w:tcPr>
            <w:tcW w:w="9864" w:type="dxa"/>
            <w:gridSpan w:val="7"/>
          </w:tcPr>
          <w:p>
            <w:pPr>
              <w:pStyle w:val="TableContentBullet"/>
              <w:numPr>
                <w:ilvl w:val="0"/>
                <w:numId w:val="0"/>
              </w:numPr>
              <w:rPr>
                <w:rFonts w:ascii="Arial" w:hAnsi="Arial"/>
              </w:rPr>
            </w:pPr>
          </w:p>
          <w:p>
            <w:pPr>
              <w:pStyle w:val="TableContentBullet"/>
              <w:ind w:left="66"/>
              <w:rPr>
                <w:rFonts w:ascii="Arial" w:hAnsi="Arial"/>
              </w:rPr>
            </w:pPr>
          </w:p>
          <w:p>
            <w:pPr>
              <w:pStyle w:val="TableContentBullet"/>
              <w:ind w:left="66"/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t xml:space="preserve">Подробную информацию о вариантах устройства и принадлежностях см. в обзоре для заказа </w:t>
            </w:r>
            <w:hyperlink r:id="rId15" w:history="1">
              <w:r>
                <w:rPr>
                  <w:rStyle w:val="Hyperlink"/>
                  <w:rFonts w:ascii="Arial" w:hAnsi="Arial"/>
                  <w:lang w:val="ru"/>
                </w:rPr>
                <w:t>«SCALANCE X – управляемые коммутаторы Industrial Ethernet»</w:t>
              </w:r>
            </w:hyperlink>
            <w:r>
              <w:rPr>
                <w:rFonts w:ascii="Arial" w:hAnsi="Arial"/>
                <w:lang w:val="ru"/>
              </w:rPr>
              <w:t xml:space="preserve"> и в руководстве по выбору TIA Selection Tool: </w:t>
            </w:r>
            <w:hyperlink r:id="rId16" w:history="1">
              <w:r>
                <w:rPr>
                  <w:rStyle w:val="Hyperlink"/>
                  <w:rFonts w:ascii="Arial" w:hAnsi="Arial"/>
                  <w:lang w:val="ru"/>
                </w:rPr>
                <w:t>www.siemens.com/tstcloud</w:t>
              </w:r>
            </w:hyperlink>
            <w:r>
              <w:rPr>
                <w:rFonts w:ascii="Arial" w:hAnsi="Arial"/>
                <w:lang w:val="ru"/>
              </w:rPr>
              <w:t xml:space="preserve"> </w:t>
            </w:r>
          </w:p>
          <w:p>
            <w:pPr>
              <w:pStyle w:val="TableContentBullet"/>
              <w:numPr>
                <w:ilvl w:val="0"/>
                <w:numId w:val="0"/>
              </w:numPr>
              <w:ind w:left="66"/>
              <w:rPr>
                <w:rFonts w:ascii="Arial" w:hAnsi="Arial"/>
              </w:rPr>
            </w:pPr>
          </w:p>
          <w:p>
            <w:pPr>
              <w:pStyle w:val="TableContentBullet"/>
              <w:numPr>
                <w:ilvl w:val="0"/>
                <w:numId w:val="0"/>
              </w:numPr>
              <w:ind w:left="66"/>
              <w:rPr>
                <w:rFonts w:ascii="Arial" w:hAnsi="Arial"/>
              </w:rPr>
            </w:pPr>
          </w:p>
          <w:p>
            <w:pPr>
              <w:pStyle w:val="TableContentBullet"/>
              <w:numPr>
                <w:ilvl w:val="0"/>
                <w:numId w:val="0"/>
              </w:numPr>
              <w:ind w:left="66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val="ru"/>
              </w:rPr>
              <w:t>Информацию о штекерах и кабелях, подходящих для промышленного использования, см. в обзоре для заказа «</w:t>
            </w:r>
            <w:hyperlink r:id="rId17" w:history="1">
              <w:r>
                <w:rPr>
                  <w:rStyle w:val="Hyperlink"/>
                  <w:rFonts w:ascii="Arial" w:hAnsi="Arial"/>
                  <w:lang w:val="ru"/>
                </w:rPr>
                <w:t>Кабельные технологии для автоматизации промышленных и энергетических систем</w:t>
              </w:r>
            </w:hyperlink>
            <w:r>
              <w:rPr>
                <w:rFonts w:ascii="Arial" w:hAnsi="Arial"/>
                <w:lang w:val="ru"/>
              </w:rPr>
              <w:t>»</w:t>
            </w:r>
          </w:p>
          <w:p>
            <w:pPr>
              <w:pStyle w:val="TableContentBullet"/>
              <w:numPr>
                <w:ilvl w:val="0"/>
                <w:numId w:val="0"/>
              </w:numPr>
            </w:pPr>
          </w:p>
        </w:tc>
      </w:tr>
      <w:tr>
        <w:tc>
          <w:tcPr>
            <w:tcW w:w="4855" w:type="dxa"/>
            <w:gridSpan w:val="3"/>
          </w:tcPr>
          <w:p>
            <w:pPr>
              <w:pStyle w:val="TableContent"/>
              <w:rPr>
                <w:noProof/>
              </w:rPr>
            </w:pPr>
          </w:p>
        </w:tc>
        <w:tc>
          <w:tcPr>
            <w:tcW w:w="1648" w:type="dxa"/>
            <w:gridSpan w:val="2"/>
          </w:tcPr>
          <w:p>
            <w:pPr>
              <w:pStyle w:val="TableContent"/>
              <w:rPr>
                <w:noProof/>
              </w:rPr>
            </w:pPr>
          </w:p>
        </w:tc>
        <w:tc>
          <w:tcPr>
            <w:tcW w:w="3361" w:type="dxa"/>
            <w:gridSpan w:val="2"/>
          </w:tcPr>
          <w:p>
            <w:pPr>
              <w:pStyle w:val="TableContent"/>
              <w:rPr>
                <w:noProof/>
              </w:rPr>
            </w:pPr>
          </w:p>
        </w:tc>
      </w:tr>
      <w:tr>
        <w:tc>
          <w:tcPr>
            <w:tcW w:w="2688" w:type="dxa"/>
            <w:tcBorders>
              <w:top w:val="single" w:sz="4" w:space="0" w:color="000000" w:themeColor="text1"/>
            </w:tcBorders>
          </w:tcPr>
          <w:p>
            <w:pPr>
              <w:pStyle w:val="TextAddress"/>
              <w:spacing w:before="120" w:after="0"/>
              <w:ind w:left="0"/>
              <w:rPr>
                <w:rFonts w:ascii="Arial" w:hAnsi="Arial"/>
                <w:szCs w:val="15"/>
                <w:lang w:val="en-US"/>
              </w:rPr>
            </w:pPr>
            <w:r>
              <w:rPr>
                <w:rFonts w:ascii="Arial" w:hAnsi="Arial"/>
                <w:szCs w:val="15"/>
                <w:lang w:val="ru"/>
              </w:rPr>
              <w:t>Siemens AG</w:t>
            </w:r>
            <w:r>
              <w:rPr>
                <w:rFonts w:ascii="Arial" w:hAnsi="Arial"/>
                <w:szCs w:val="15"/>
                <w:lang w:val="ru"/>
              </w:rPr>
              <w:br/>
              <w:t>Process Industries and Drives</w:t>
            </w:r>
          </w:p>
          <w:p>
            <w:pPr>
              <w:pStyle w:val="TextAddress"/>
              <w:spacing w:before="0" w:after="0"/>
              <w:ind w:left="0"/>
              <w:rPr>
                <w:rFonts w:ascii="Arial" w:hAnsi="Arial"/>
                <w:szCs w:val="15"/>
              </w:rPr>
            </w:pPr>
            <w:r>
              <w:rPr>
                <w:rFonts w:ascii="Arial" w:hAnsi="Arial"/>
                <w:szCs w:val="15"/>
                <w:lang w:val="ru"/>
              </w:rPr>
              <w:t>Process Automation</w:t>
            </w:r>
          </w:p>
          <w:p>
            <w:pPr>
              <w:spacing w:before="0"/>
              <w:rPr>
                <w:rFonts w:ascii="Arial" w:hAnsi="Arial"/>
                <w:sz w:val="15"/>
                <w:szCs w:val="15"/>
                <w:lang w:val="de-DE"/>
              </w:rPr>
            </w:pPr>
            <w:r>
              <w:rPr>
                <w:rFonts w:ascii="Arial" w:hAnsi="Arial"/>
                <w:sz w:val="15"/>
                <w:szCs w:val="15"/>
                <w:lang w:val="ru"/>
              </w:rPr>
              <w:t>Postbox 48 48</w:t>
            </w:r>
            <w:r>
              <w:rPr>
                <w:rFonts w:ascii="Arial" w:hAnsi="Arial"/>
                <w:sz w:val="15"/>
                <w:szCs w:val="15"/>
                <w:lang w:val="ru"/>
              </w:rPr>
              <w:br/>
              <w:t>90026 NÜRNBERG</w:t>
            </w:r>
          </w:p>
          <w:p>
            <w:pPr>
              <w:spacing w:before="0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  <w:lang w:val="ru"/>
              </w:rPr>
              <w:t>DEUTSCHLAND</w:t>
            </w:r>
          </w:p>
          <w:p>
            <w:pPr>
              <w:pStyle w:val="TextAddress"/>
              <w:spacing w:before="0" w:after="0"/>
            </w:pPr>
          </w:p>
        </w:tc>
        <w:tc>
          <w:tcPr>
            <w:tcW w:w="2578" w:type="dxa"/>
            <w:gridSpan w:val="3"/>
            <w:tcBorders>
              <w:top w:val="single" w:sz="4" w:space="0" w:color="000000" w:themeColor="text1"/>
            </w:tcBorders>
          </w:tcPr>
          <w:p>
            <w:pPr>
              <w:pStyle w:val="TextAddress"/>
            </w:pPr>
            <w:r>
              <w:rPr>
                <w:rFonts w:ascii="Arial" w:hAnsi="Arial"/>
                <w:lang w:val="ru"/>
              </w:rPr>
              <w:t>Оставляем за собой право на внесение изменений, 04/18</w:t>
            </w:r>
            <w:r>
              <w:rPr>
                <w:rFonts w:ascii="Arial" w:hAnsi="Arial"/>
                <w:lang w:val="ru"/>
              </w:rPr>
              <w:br/>
              <w:t>© Siemens AG 2018</w:t>
            </w:r>
          </w:p>
        </w:tc>
        <w:tc>
          <w:tcPr>
            <w:tcW w:w="4598" w:type="dxa"/>
            <w:gridSpan w:val="3"/>
            <w:tcBorders>
              <w:top w:val="single" w:sz="4" w:space="0" w:color="000000" w:themeColor="text1"/>
            </w:tcBorders>
          </w:tcPr>
          <w:p>
            <w:pPr>
              <w:pStyle w:val="Textlegal"/>
              <w:rPr>
                <w:lang w:val="ru"/>
              </w:rPr>
            </w:pPr>
            <w:r>
              <w:rPr>
                <w:rFonts w:ascii="Arial" w:hAnsi="Arial"/>
                <w:lang w:val="ru"/>
              </w:rPr>
              <w:t>Права на внесение изменений и наличие ошибок сохранены. Сведения в</w:t>
            </w:r>
            <w:r>
              <w:rPr>
                <w:rFonts w:ascii="Arial" w:hAnsi="Arial"/>
                <w:lang w:val="en-US"/>
              </w:rPr>
              <w:t> </w:t>
            </w:r>
            <w:r>
              <w:rPr>
                <w:rFonts w:ascii="Arial" w:hAnsi="Arial"/>
                <w:lang w:val="ru"/>
              </w:rPr>
              <w:t>этом документе содержат описания или технические характеристики, которые в конкретных случаях использования не всегда соответствуют приведенным здесь данным и которые вследствие развития техники могли быть уже изменены. Характеристики только тогда являются обязательными, когда они четко согласованы в рамках заключенного договора.</w:t>
            </w:r>
          </w:p>
        </w:tc>
      </w:tr>
    </w:tbl>
    <w:p>
      <w:pPr>
        <w:rPr>
          <w:rFonts w:ascii="Arial" w:hAnsi="Arial"/>
          <w:lang w:val="ru"/>
        </w:rPr>
      </w:pPr>
    </w:p>
    <w:sectPr>
      <w:footerReference w:type="default" r:id="rId18"/>
      <w:headerReference w:type="first" r:id="rId19"/>
      <w:footerReference w:type="first" r:id="rId20"/>
      <w:pgSz w:w="11906" w:h="16838" w:code="9"/>
      <w:pgMar w:top="1021" w:right="1021" w:bottom="709" w:left="1021" w:header="43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  <w:p/>
  </w:endnote>
  <w:endnote w:type="continuationSeparator" w:id="0">
    <w:p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emens Sans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b/>
        <w:sz w:val="18"/>
      </w:rPr>
    </w:pPr>
    <w:hyperlink r:id="rId1" w:history="1">
      <w:r>
        <w:rPr>
          <w:rStyle w:val="Hyperlink"/>
          <w:b/>
          <w:bCs/>
          <w:sz w:val="18"/>
          <w:lang w:val="ru"/>
        </w:rPr>
        <w:t>siemens.</w:t>
      </w:r>
      <w:proofErr w:type="spellStart"/>
      <w:r>
        <w:rPr>
          <w:rStyle w:val="Hyperlink"/>
          <w:b/>
          <w:bCs/>
          <w:sz w:val="18"/>
          <w:lang w:val="de-DE"/>
        </w:rPr>
        <w:t>com</w:t>
      </w:r>
      <w:proofErr w:type="spellEnd"/>
      <w:r>
        <w:rPr>
          <w:rStyle w:val="Hyperlink"/>
          <w:b/>
          <w:bCs/>
          <w:sz w:val="18"/>
          <w:lang w:val="ru"/>
        </w:rPr>
        <w:t>/xc-200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b/>
        <w:sz w:val="18"/>
      </w:rPr>
    </w:pPr>
    <w:hyperlink r:id="rId1" w:history="1">
      <w:r>
        <w:rPr>
          <w:rStyle w:val="Hyperlink"/>
          <w:b/>
          <w:bCs/>
          <w:sz w:val="18"/>
          <w:lang w:val="ru"/>
        </w:rPr>
        <w:t>siemens.</w:t>
      </w:r>
      <w:proofErr w:type="spellStart"/>
      <w:r>
        <w:rPr>
          <w:rStyle w:val="Hyperlink"/>
          <w:b/>
          <w:bCs/>
          <w:sz w:val="18"/>
          <w:lang w:val="de-DE"/>
        </w:rPr>
        <w:t>com</w:t>
      </w:r>
      <w:proofErr w:type="spellEnd"/>
      <w:r>
        <w:rPr>
          <w:rStyle w:val="Hyperlink"/>
          <w:b/>
          <w:bCs/>
          <w:sz w:val="18"/>
          <w:lang w:val="ru"/>
        </w:rPr>
        <w:t>/xc-200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  <w:p/>
  </w:footnote>
  <w:footnote w:type="continuationSeparator" w:id="0">
    <w:p>
      <w:r>
        <w:continuationSeparator/>
      </w:r>
    </w:p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  <w:rPr>
        <w:rFonts w:ascii="Arial" w:hAnsi="Arial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align>top</wp:align>
              </wp:positionV>
              <wp:extent cx="6245860" cy="4320000"/>
              <wp:effectExtent l="0" t="0" r="0" b="4445"/>
              <wp:wrapTopAndBottom/>
              <wp:docPr id="276" name="Rechteck 2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5860" cy="43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76" o:spid="_x0000_s1026" style="position:absolute;left:0;text-align:left;margin-left:440.6pt;margin-top:0;width:491.8pt;height:340.1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" filled="f" stroked="f" strokeweight="1pt">
              <w10:wrap type="topAndBottom" anchorx="margin" anchory="page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-263052</wp:posOffset>
              </wp:positionV>
              <wp:extent cx="7560000" cy="2880000"/>
              <wp:effectExtent l="0" t="0" r="3175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0"/>
                      </a:xfrm>
                      <a:prstGeom prst="rect">
                        <a:avLst/>
                      </a:prstGeom>
                      <a:solidFill>
                        <a:srgbClr val="E5E4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left:0;text-align:left;margin-left:0;margin-top:-20.7pt;width:595.3pt;height:226.75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" fillcolor="#e5e4dd" stroked="f" strokeweight="1pt">
              <w10:wrap anchorx="page"/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4253865</wp:posOffset>
          </wp:positionH>
          <wp:positionV relativeFrom="paragraph">
            <wp:posOffset>298450</wp:posOffset>
          </wp:positionV>
          <wp:extent cx="2020570" cy="850265"/>
          <wp:effectExtent l="0" t="0" r="0" b="6985"/>
          <wp:wrapSquare wrapText="bothSides"/>
          <wp:docPr id="3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in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5494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63823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D234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A21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54E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28C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F49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F3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CAA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209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F6984"/>
    <w:multiLevelType w:val="multilevel"/>
    <w:tmpl w:val="E7264BD4"/>
    <w:lvl w:ilvl="0">
      <w:start w:val="1"/>
      <w:numFmt w:val="bullet"/>
      <w:pStyle w:val="Bullets"/>
      <w:lvlText w:val=""/>
      <w:lvlJc w:val="left"/>
      <w:pPr>
        <w:tabs>
          <w:tab w:val="num" w:pos="431"/>
        </w:tabs>
        <w:ind w:left="431" w:hanging="431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862"/>
        </w:tabs>
        <w:ind w:left="862" w:hanging="431"/>
      </w:pPr>
      <w:rPr>
        <w:rFonts w:hint="default"/>
      </w:rPr>
    </w:lvl>
    <w:lvl w:ilvl="2">
      <w:start w:val="1"/>
      <w:numFmt w:val="bullet"/>
      <w:lvlText w:val=""/>
      <w:lvlJc w:val="left"/>
      <w:pPr>
        <w:tabs>
          <w:tab w:val="num" w:pos="1293"/>
        </w:tabs>
        <w:ind w:left="1293" w:hanging="43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1">
    <w:nsid w:val="20FA3C3B"/>
    <w:multiLevelType w:val="multilevel"/>
    <w:tmpl w:val="139ED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AEC6D03"/>
    <w:multiLevelType w:val="hybridMultilevel"/>
    <w:tmpl w:val="A49C6052"/>
    <w:lvl w:ilvl="0" w:tplc="1F705DFE">
      <w:start w:val="1"/>
      <w:numFmt w:val="decimal"/>
      <w:pStyle w:val="ListenAuto"/>
      <w:lvlText w:val="%1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F19B5"/>
    <w:multiLevelType w:val="multilevel"/>
    <w:tmpl w:val="DCCE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303C45"/>
    <w:multiLevelType w:val="hybridMultilevel"/>
    <w:tmpl w:val="C778FE06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5AD15E6A"/>
    <w:multiLevelType w:val="multilevel"/>
    <w:tmpl w:val="C6F6624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264"/>
        </w:tabs>
        <w:ind w:left="1264" w:hanging="1264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44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80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800"/>
        </w:tabs>
        <w:ind w:left="1584" w:hanging="1584"/>
      </w:pPr>
      <w:rPr>
        <w:rFonts w:cs="Times New Roman" w:hint="default"/>
      </w:rPr>
    </w:lvl>
  </w:abstractNum>
  <w:abstractNum w:abstractNumId="16">
    <w:nsid w:val="783267D2"/>
    <w:multiLevelType w:val="multilevel"/>
    <w:tmpl w:val="489A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>
    <w:nsid w:val="7E4D146E"/>
    <w:multiLevelType w:val="hybridMultilevel"/>
    <w:tmpl w:val="AF781A3E"/>
    <w:lvl w:ilvl="0" w:tplc="427A8EE2">
      <w:start w:val="1"/>
      <w:numFmt w:val="bullet"/>
      <w:pStyle w:val="TableContentBullet"/>
      <w:lvlText w:val=""/>
      <w:lvlJc w:val="left"/>
      <w:pPr>
        <w:ind w:left="777" w:hanging="360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7"/>
  </w:num>
  <w:num w:numId="18">
    <w:abstractNumId w:val="17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iemens Sans" w:hAnsi="Siemens Sans"/>
      <w:color w:val="000000"/>
      <w:sz w:val="18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spacing w:before="600" w:after="240"/>
      <w:ind w:left="454" w:hanging="454"/>
      <w:outlineLvl w:val="0"/>
    </w:pPr>
    <w:rPr>
      <w:rFonts w:cs="Arial"/>
      <w:bCs/>
      <w:color w:val="005B81"/>
      <w:kern w:val="32"/>
      <w:sz w:val="44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spacing w:before="480" w:after="240"/>
      <w:ind w:left="454" w:hanging="454"/>
      <w:outlineLvl w:val="1"/>
    </w:pPr>
    <w:rPr>
      <w:rFonts w:cs="Arial"/>
      <w:b/>
      <w:bCs/>
      <w:iCs/>
      <w:color w:val="B1AFA1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360"/>
      <w:ind w:left="709" w:hanging="709"/>
      <w:outlineLvl w:val="2"/>
    </w:pPr>
    <w:rPr>
      <w:rFonts w:cs="Arial"/>
      <w:b/>
      <w:bCs/>
      <w:color w:val="B1AFA1"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tabs>
        <w:tab w:val="clear" w:pos="864"/>
      </w:tabs>
      <w:spacing w:before="360"/>
      <w:ind w:left="851" w:hanging="851"/>
      <w:outlineLvl w:val="3"/>
    </w:pPr>
    <w:rPr>
      <w:b/>
      <w:bCs/>
      <w:color w:val="B1AFA1"/>
      <w:sz w:val="24"/>
      <w:szCs w:val="28"/>
    </w:rPr>
  </w:style>
  <w:style w:type="paragraph" w:styleId="berschrift5">
    <w:name w:val="heading 5"/>
    <w:basedOn w:val="berschrift4"/>
    <w:next w:val="Standard"/>
    <w:link w:val="berschrift5Zchn"/>
    <w:qFormat/>
    <w:pPr>
      <w:numPr>
        <w:ilvl w:val="4"/>
      </w:numPr>
      <w:tabs>
        <w:tab w:val="clear" w:pos="1008"/>
      </w:tabs>
      <w:ind w:left="1077" w:hanging="1077"/>
      <w:outlineLvl w:val="4"/>
    </w:pPr>
    <w:rPr>
      <w:bCs w:val="0"/>
      <w:iCs/>
      <w:szCs w:val="26"/>
    </w:rPr>
  </w:style>
  <w:style w:type="paragraph" w:styleId="berschrift6">
    <w:name w:val="heading 6"/>
    <w:basedOn w:val="berschrift4"/>
    <w:next w:val="Standard"/>
    <w:link w:val="berschrift6Zchn"/>
    <w:qFormat/>
    <w:pPr>
      <w:numPr>
        <w:ilvl w:val="5"/>
      </w:numPr>
      <w:outlineLvl w:val="5"/>
    </w:pPr>
    <w:rPr>
      <w:bCs w:val="0"/>
      <w:szCs w:val="22"/>
    </w:rPr>
  </w:style>
  <w:style w:type="paragraph" w:styleId="berschrift7">
    <w:name w:val="heading 7"/>
    <w:basedOn w:val="berschrift4"/>
    <w:next w:val="Standard"/>
    <w:link w:val="berschrift7Zchn"/>
    <w:qFormat/>
    <w:pPr>
      <w:numPr>
        <w:ilvl w:val="6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Pr>
      <w:rFonts w:ascii="Arial" w:hAnsi="Arial" w:cs="Arial"/>
      <w:bCs/>
      <w:color w:val="005B81"/>
      <w:kern w:val="32"/>
      <w:sz w:val="44"/>
      <w:szCs w:val="24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locked/>
    <w:rPr>
      <w:rFonts w:ascii="Arial" w:hAnsi="Arial" w:cs="Arial"/>
      <w:b/>
      <w:bCs/>
      <w:iCs/>
      <w:color w:val="B1AFA1"/>
      <w:sz w:val="24"/>
      <w:szCs w:val="28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locked/>
    <w:rPr>
      <w:rFonts w:ascii="Arial" w:hAnsi="Arial" w:cs="Arial"/>
      <w:b/>
      <w:bCs/>
      <w:color w:val="B1AFA1"/>
      <w:sz w:val="24"/>
      <w:szCs w:val="24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locked/>
    <w:rPr>
      <w:rFonts w:ascii="Arial" w:hAnsi="Arial"/>
      <w:b/>
      <w:bCs/>
      <w:color w:val="B1AFA1"/>
      <w:sz w:val="24"/>
      <w:szCs w:val="28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locked/>
    <w:rPr>
      <w:rFonts w:ascii="Arial" w:hAnsi="Arial"/>
      <w:b/>
      <w:iCs/>
      <w:color w:val="A9A998"/>
      <w:sz w:val="24"/>
      <w:szCs w:val="26"/>
      <w:lang w:val="en-GB" w:eastAsia="en-US"/>
    </w:rPr>
  </w:style>
  <w:style w:type="character" w:customStyle="1" w:styleId="berschrift6Zchn">
    <w:name w:val="Überschrift 6 Zchn"/>
    <w:basedOn w:val="Absatz-Standardschriftart"/>
    <w:link w:val="berschrift6"/>
    <w:locked/>
    <w:rPr>
      <w:rFonts w:ascii="Arial" w:hAnsi="Arial"/>
      <w:b/>
      <w:color w:val="A9A998"/>
      <w:sz w:val="24"/>
      <w:szCs w:val="22"/>
      <w:lang w:val="en-GB" w:eastAsia="en-US"/>
    </w:rPr>
  </w:style>
  <w:style w:type="character" w:customStyle="1" w:styleId="berschrift7Zchn">
    <w:name w:val="Überschrift 7 Zchn"/>
    <w:basedOn w:val="Absatz-Standardschriftart"/>
    <w:link w:val="berschrift7"/>
    <w:semiHidden/>
    <w:locked/>
    <w:rPr>
      <w:rFonts w:ascii="Calibri" w:hAnsi="Calibri" w:cs="Times New Roman"/>
      <w:color w:val="000000"/>
      <w:sz w:val="24"/>
      <w:szCs w:val="24"/>
      <w:lang w:val="en-GB" w:eastAsia="x-none"/>
    </w:rPr>
  </w:style>
  <w:style w:type="character" w:customStyle="1" w:styleId="berschrift8Zchn">
    <w:name w:val="Überschrift 8 Zchn"/>
    <w:basedOn w:val="Absatz-Standardschriftart"/>
    <w:link w:val="berschrift8"/>
    <w:semiHidden/>
    <w:locked/>
    <w:rPr>
      <w:rFonts w:ascii="Calibri" w:hAnsi="Calibri" w:cs="Times New Roman"/>
      <w:i/>
      <w:iCs/>
      <w:color w:val="000000"/>
      <w:sz w:val="24"/>
      <w:szCs w:val="24"/>
      <w:lang w:val="en-GB" w:eastAsia="x-none"/>
    </w:rPr>
  </w:style>
  <w:style w:type="character" w:customStyle="1" w:styleId="berschrift9Zchn">
    <w:name w:val="Überschrift 9 Zchn"/>
    <w:basedOn w:val="Absatz-Standardschriftart"/>
    <w:link w:val="berschrift9"/>
    <w:semiHidden/>
    <w:locked/>
    <w:rPr>
      <w:rFonts w:ascii="Cambria" w:hAnsi="Cambria" w:cs="Times New Roman"/>
      <w:color w:val="000000"/>
      <w:lang w:val="en-GB" w:eastAsia="x-none"/>
    </w:rPr>
  </w:style>
  <w:style w:type="paragraph" w:styleId="Kopfzeile">
    <w:name w:val="header"/>
    <w:basedOn w:val="Standard"/>
    <w:link w:val="KopfzeileZchn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Pr>
      <w:rFonts w:ascii="Arial" w:hAnsi="Arial" w:cs="Times New Roman"/>
      <w:color w:val="000000"/>
      <w:sz w:val="24"/>
      <w:szCs w:val="24"/>
      <w:lang w:val="en-GB" w:eastAsia="x-none"/>
    </w:rPr>
  </w:style>
  <w:style w:type="paragraph" w:customStyle="1" w:styleId="Titel3black">
    <w:name w:val="Titel_3_black"/>
    <w:basedOn w:val="Standard"/>
    <w:pPr>
      <w:spacing w:before="240" w:after="60" w:line="360" w:lineRule="auto"/>
      <w:ind w:left="851"/>
    </w:pPr>
    <w:rPr>
      <w:sz w:val="32"/>
      <w:szCs w:val="20"/>
    </w:rPr>
  </w:style>
  <w:style w:type="paragraph" w:customStyle="1" w:styleId="header1purple">
    <w:name w:val="header_1 purple"/>
    <w:basedOn w:val="Standard"/>
    <w:rPr>
      <w:color w:val="46166B"/>
    </w:rPr>
  </w:style>
  <w:style w:type="paragraph" w:styleId="Fuzeile">
    <w:name w:val="footer"/>
    <w:basedOn w:val="Standard"/>
    <w:link w:val="FuzeileZchn"/>
    <w:pPr>
      <w:tabs>
        <w:tab w:val="center" w:pos="4153"/>
        <w:tab w:val="right" w:pos="8306"/>
      </w:tabs>
    </w:pPr>
    <w:rPr>
      <w:color w:val="auto"/>
      <w:sz w:val="12"/>
      <w:szCs w:val="20"/>
    </w:rPr>
  </w:style>
  <w:style w:type="character" w:customStyle="1" w:styleId="FuzeileZchn">
    <w:name w:val="Fußzeile Zchn"/>
    <w:basedOn w:val="Absatz-Standardschriftart"/>
    <w:link w:val="Fuzeile"/>
    <w:semiHidden/>
    <w:locked/>
    <w:rPr>
      <w:rFonts w:ascii="Arial" w:hAnsi="Arial" w:cs="Times New Roman"/>
      <w:color w:val="000000"/>
      <w:sz w:val="24"/>
      <w:szCs w:val="24"/>
      <w:lang w:val="en-GB" w:eastAsia="x-none"/>
    </w:rPr>
  </w:style>
  <w:style w:type="character" w:styleId="Seitenzahl">
    <w:name w:val="page number"/>
    <w:basedOn w:val="Absatz-Standardschriftart"/>
    <w:rPr>
      <w:rFonts w:ascii="Siemens Sans" w:hAnsi="Siemens Sans" w:cs="Times New Roman"/>
      <w:sz w:val="16"/>
      <w:lang w:val="en-GB" w:eastAsia="x-none"/>
    </w:rPr>
  </w:style>
  <w:style w:type="paragraph" w:styleId="Verzeichnis3">
    <w:name w:val="toc 3"/>
    <w:basedOn w:val="Standard"/>
    <w:next w:val="Standard"/>
    <w:autoRedefine/>
    <w:uiPriority w:val="39"/>
    <w:pPr>
      <w:spacing w:before="60"/>
      <w:ind w:left="227"/>
    </w:pPr>
    <w:rPr>
      <w:color w:val="B1AFA1"/>
      <w:szCs w:val="26"/>
    </w:rPr>
  </w:style>
  <w:style w:type="paragraph" w:customStyle="1" w:styleId="PartX">
    <w:name w:val="Part_X"/>
    <w:pPr>
      <w:spacing w:before="400"/>
      <w:ind w:left="851"/>
      <w:jc w:val="center"/>
    </w:pPr>
    <w:rPr>
      <w:rFonts w:ascii="Siemens Sans" w:hAnsi="Siemens Sans"/>
      <w:color w:val="000000"/>
      <w:sz w:val="32"/>
      <w:lang w:val="en-GB" w:eastAsia="en-US"/>
    </w:rPr>
  </w:style>
  <w:style w:type="paragraph" w:customStyle="1" w:styleId="PSD">
    <w:name w:val="PSD"/>
    <w:pPr>
      <w:spacing w:before="400"/>
      <w:ind w:left="851"/>
      <w:jc w:val="center"/>
    </w:pPr>
    <w:rPr>
      <w:rFonts w:ascii="Siemens Sans" w:hAnsi="Siemens Sans"/>
      <w:color w:val="000000"/>
      <w:sz w:val="32"/>
      <w:lang w:val="en-GB" w:eastAsia="en-US"/>
    </w:rPr>
  </w:style>
  <w:style w:type="paragraph" w:customStyle="1" w:styleId="Bullets">
    <w:name w:val="Bullets"/>
    <w:basedOn w:val="Standard"/>
    <w:pPr>
      <w:numPr>
        <w:numId w:val="4"/>
      </w:numPr>
    </w:pPr>
    <w:rPr>
      <w:color w:val="auto"/>
      <w:lang w:val="de-DE"/>
    </w:rPr>
  </w:style>
  <w:style w:type="paragraph" w:customStyle="1" w:styleId="ListenAuto">
    <w:name w:val="Listen_Auto"/>
    <w:basedOn w:val="Standard"/>
    <w:pPr>
      <w:numPr>
        <w:numId w:val="5"/>
      </w:numPr>
    </w:pPr>
  </w:style>
  <w:style w:type="paragraph" w:customStyle="1" w:styleId="ListenManuel">
    <w:name w:val="Listen_Manuel"/>
    <w:basedOn w:val="Standard"/>
    <w:pPr>
      <w:ind w:left="431" w:hanging="431"/>
    </w:pPr>
  </w:style>
  <w:style w:type="paragraph" w:customStyle="1" w:styleId="Figure">
    <w:name w:val="Figure"/>
    <w:next w:val="Standard"/>
    <w:pPr>
      <w:spacing w:before="120"/>
    </w:pPr>
    <w:rPr>
      <w:rFonts w:ascii="Siemens Sans" w:hAnsi="Siemens Sans"/>
      <w:i/>
      <w:sz w:val="16"/>
      <w:lang w:val="en-GB" w:eastAsia="en-US"/>
    </w:rPr>
  </w:style>
  <w:style w:type="paragraph" w:customStyle="1" w:styleId="PullQuote">
    <w:name w:val="Pull Quote"/>
    <w:next w:val="Standard"/>
    <w:pPr>
      <w:pBdr>
        <w:top w:val="single" w:sz="24" w:space="1" w:color="46166B"/>
        <w:bottom w:val="single" w:sz="12" w:space="1" w:color="999999"/>
      </w:pBdr>
      <w:spacing w:before="120" w:after="120"/>
      <w:ind w:left="851"/>
      <w:jc w:val="center"/>
    </w:pPr>
    <w:rPr>
      <w:rFonts w:ascii="Siemens Sans" w:hAnsi="Siemens Sans"/>
      <w:b/>
      <w:sz w:val="24"/>
      <w:lang w:eastAsia="en-US"/>
    </w:rPr>
  </w:style>
  <w:style w:type="paragraph" w:customStyle="1" w:styleId="TableTitel">
    <w:name w:val="Table Titel"/>
    <w:pPr>
      <w:spacing w:before="60" w:after="60"/>
      <w:ind w:left="57"/>
    </w:pPr>
    <w:rPr>
      <w:rFonts w:ascii="Siemens Sans" w:hAnsi="Siemens Sans"/>
      <w:b/>
      <w:color w:val="FFFFFF" w:themeColor="background1"/>
      <w:sz w:val="18"/>
      <w:lang w:val="en-GB" w:eastAsia="en-US"/>
    </w:rPr>
  </w:style>
  <w:style w:type="paragraph" w:customStyle="1" w:styleId="TableContent">
    <w:name w:val="Table Content"/>
    <w:pPr>
      <w:spacing w:before="60" w:after="60"/>
      <w:ind w:left="57"/>
    </w:pPr>
    <w:rPr>
      <w:rFonts w:ascii="Siemens Sans" w:hAnsi="Siemens Sans"/>
      <w:sz w:val="18"/>
      <w:lang w:val="en-GB" w:eastAsia="en-US"/>
    </w:rPr>
  </w:style>
  <w:style w:type="paragraph" w:customStyle="1" w:styleId="TableSubtitel">
    <w:name w:val="Table Subtitel"/>
    <w:pPr>
      <w:spacing w:before="120" w:after="120"/>
      <w:ind w:left="113"/>
    </w:pPr>
    <w:rPr>
      <w:rFonts w:ascii="Siemens Sans" w:hAnsi="Siemens Sans"/>
      <w:b/>
      <w:lang w:val="en-GB" w:eastAsia="en-US"/>
    </w:rPr>
  </w:style>
  <w:style w:type="paragraph" w:customStyle="1" w:styleId="BulletFirst">
    <w:name w:val="Bullet First"/>
    <w:basedOn w:val="Bullets"/>
    <w:next w:val="Bullets"/>
    <w:pPr>
      <w:spacing w:before="280"/>
    </w:pPr>
    <w:rPr>
      <w:lang w:val="en-GB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227"/>
        <w:tab w:val="right" w:leader="dot" w:pos="9639"/>
      </w:tabs>
      <w:spacing w:before="120"/>
      <w:ind w:left="340" w:hanging="340"/>
    </w:pPr>
    <w:rPr>
      <w:b/>
      <w:bCs/>
      <w:caps/>
      <w:noProof/>
      <w:color w:val="005B81"/>
      <w:szCs w:val="26"/>
      <w:lang w:val="de-DE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640"/>
        <w:tab w:val="right" w:leader="dot" w:pos="9854"/>
      </w:tabs>
      <w:spacing w:before="60"/>
      <w:ind w:left="227"/>
    </w:pPr>
    <w:rPr>
      <w:bCs/>
      <w:noProof/>
      <w:color w:val="B1AFA1"/>
      <w:szCs w:val="26"/>
      <w:lang w:val="de-DE"/>
    </w:rPr>
  </w:style>
  <w:style w:type="paragraph" w:styleId="Verzeichnis4">
    <w:name w:val="toc 4"/>
    <w:basedOn w:val="Standard"/>
    <w:next w:val="Standard"/>
    <w:autoRedefine/>
    <w:uiPriority w:val="39"/>
    <w:pPr>
      <w:tabs>
        <w:tab w:val="left" w:pos="940"/>
        <w:tab w:val="right" w:leader="dot" w:pos="9854"/>
      </w:tabs>
      <w:spacing w:before="60"/>
      <w:ind w:left="227"/>
    </w:pPr>
    <w:rPr>
      <w:color w:val="B1AFA1"/>
      <w:szCs w:val="26"/>
    </w:rPr>
  </w:style>
  <w:style w:type="paragraph" w:styleId="Verzeichnis5">
    <w:name w:val="toc 5"/>
    <w:basedOn w:val="Standard"/>
    <w:next w:val="Standard"/>
    <w:autoRedefine/>
    <w:uiPriority w:val="39"/>
    <w:pPr>
      <w:spacing w:before="60"/>
      <w:ind w:left="227"/>
    </w:pPr>
    <w:rPr>
      <w:color w:val="A9A998"/>
      <w:szCs w:val="26"/>
    </w:rPr>
  </w:style>
  <w:style w:type="paragraph" w:styleId="Verzeichnis6">
    <w:name w:val="toc 6"/>
    <w:basedOn w:val="Standard"/>
    <w:next w:val="Standard"/>
    <w:autoRedefine/>
    <w:semiHidden/>
    <w:pPr>
      <w:spacing w:before="60"/>
      <w:ind w:left="170"/>
    </w:pPr>
    <w:rPr>
      <w:szCs w:val="26"/>
    </w:rPr>
  </w:style>
  <w:style w:type="paragraph" w:styleId="Verzeichnis7">
    <w:name w:val="toc 7"/>
    <w:basedOn w:val="Standard"/>
    <w:next w:val="Standard"/>
    <w:autoRedefine/>
    <w:semiHidden/>
    <w:pPr>
      <w:spacing w:before="60"/>
      <w:ind w:left="170"/>
    </w:pPr>
    <w:rPr>
      <w:szCs w:val="26"/>
    </w:rPr>
  </w:style>
  <w:style w:type="paragraph" w:styleId="Verzeichnis8">
    <w:name w:val="toc 8"/>
    <w:basedOn w:val="Standard"/>
    <w:next w:val="Standard"/>
    <w:autoRedefine/>
    <w:semiHidden/>
    <w:rPr>
      <w:rFonts w:ascii="Times New Roman" w:hAnsi="Times New Roman"/>
      <w:szCs w:val="26"/>
    </w:rPr>
  </w:style>
  <w:style w:type="paragraph" w:styleId="Verzeichnis9">
    <w:name w:val="toc 9"/>
    <w:basedOn w:val="Standard"/>
    <w:next w:val="Standard"/>
    <w:autoRedefine/>
    <w:semiHidden/>
    <w:rPr>
      <w:rFonts w:ascii="Times New Roman" w:hAnsi="Times New Roman"/>
      <w:szCs w:val="26"/>
    </w:rPr>
  </w:style>
  <w:style w:type="character" w:styleId="Hyperlink">
    <w:name w:val="Hyperlink"/>
    <w:basedOn w:val="Absatz-Standardschriftart"/>
    <w:rPr>
      <w:rFonts w:cs="Times New Roman"/>
      <w:color w:val="000000" w:themeColor="text1"/>
      <w:u w:val="none"/>
    </w:rPr>
  </w:style>
  <w:style w:type="table" w:customStyle="1" w:styleId="Standardtabelle">
    <w:name w:val="Standardtabelle"/>
    <w:rPr>
      <w:rFonts w:ascii="Arial Narrow" w:hAnsi="Arial Narrow"/>
      <w:lang w:val="en-US" w:eastAsia="en-US"/>
    </w:rPr>
    <w:tblPr>
      <w:tblInd w:w="0" w:type="dxa"/>
      <w:tblBorders>
        <w:top w:val="single" w:sz="4" w:space="0" w:color="46166B"/>
        <w:bottom w:val="single" w:sz="4" w:space="0" w:color="46166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bildungsverzeichnis">
    <w:name w:val="table of figures"/>
    <w:basedOn w:val="Standard"/>
    <w:next w:val="Standard"/>
    <w:semiHidden/>
    <w:pPr>
      <w:spacing w:before="120"/>
      <w:ind w:left="403" w:hanging="403"/>
    </w:pPr>
  </w:style>
  <w:style w:type="paragraph" w:customStyle="1" w:styleId="Organigramm">
    <w:name w:val="Organigramm"/>
    <w:pPr>
      <w:spacing w:before="120"/>
      <w:ind w:left="851"/>
      <w:jc w:val="center"/>
    </w:pPr>
    <w:rPr>
      <w:rFonts w:ascii="Siemens Sans" w:hAnsi="Siemens Sans"/>
      <w:lang w:eastAsia="en-US"/>
    </w:rPr>
  </w:style>
  <w:style w:type="paragraph" w:customStyle="1" w:styleId="TblofContent">
    <w:name w:val="Tbl_of_Content"/>
    <w:next w:val="Standard"/>
    <w:pPr>
      <w:spacing w:before="360" w:after="240"/>
    </w:pPr>
    <w:rPr>
      <w:rFonts w:ascii="Siemens Sans" w:hAnsi="Siemens Sans"/>
      <w:color w:val="005B81"/>
      <w:sz w:val="44"/>
      <w:lang w:val="en-GB" w:eastAsia="en-US"/>
    </w:rPr>
  </w:style>
  <w:style w:type="table" w:styleId="Tabellenraster">
    <w:name w:val="Table Grid"/>
    <w:basedOn w:val="NormaleTabelle"/>
    <w:pPr>
      <w:spacing w:befor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black">
    <w:name w:val="header_2 black"/>
    <w:basedOn w:val="Standard"/>
    <w:rPr>
      <w:noProof/>
      <w:sz w:val="24"/>
      <w:lang w:val="en-US"/>
    </w:rPr>
  </w:style>
  <w:style w:type="paragraph" w:customStyle="1" w:styleId="Titel1lila">
    <w:name w:val="Titel_1_lila"/>
    <w:basedOn w:val="Standard"/>
    <w:pPr>
      <w:spacing w:before="3020" w:line="360" w:lineRule="auto"/>
      <w:ind w:left="851"/>
      <w:jc w:val="both"/>
    </w:pPr>
    <w:rPr>
      <w:b/>
      <w:bCs/>
      <w:color w:val="46166B"/>
      <w:sz w:val="32"/>
      <w:szCs w:val="20"/>
    </w:rPr>
  </w:style>
  <w:style w:type="paragraph" w:customStyle="1" w:styleId="Titel2Black">
    <w:name w:val="Titel_2_Black"/>
    <w:basedOn w:val="Standard"/>
    <w:link w:val="Titel2BlackChar"/>
    <w:pPr>
      <w:ind w:left="851"/>
      <w:jc w:val="both"/>
    </w:pPr>
    <w:rPr>
      <w:rFonts w:ascii="Arial Black" w:hAnsi="Arial Black"/>
      <w:sz w:val="32"/>
      <w:szCs w:val="20"/>
    </w:rPr>
  </w:style>
  <w:style w:type="character" w:customStyle="1" w:styleId="Titel2BlackChar">
    <w:name w:val="Titel_2_Black Char"/>
    <w:basedOn w:val="Absatz-Standardschriftart"/>
    <w:link w:val="Titel2Black"/>
    <w:locked/>
    <w:rPr>
      <w:rFonts w:ascii="Arial Black" w:hAnsi="Arial Black" w:cs="Times New Roman"/>
      <w:color w:val="000000"/>
      <w:sz w:val="32"/>
      <w:lang w:val="en-GB" w:eastAsia="en-US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Pr>
      <w:rFonts w:cs="Times New Roman"/>
      <w:color w:val="000000"/>
      <w:sz w:val="2"/>
      <w:lang w:val="en-GB" w:eastAsia="x-non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TableContentwhite">
    <w:name w:val="Table Content (white)"/>
    <w:basedOn w:val="TableContent"/>
    <w:qFormat/>
    <w:rPr>
      <w:b/>
      <w:noProof/>
      <w:color w:val="FFFFFF" w:themeColor="background1"/>
      <w:lang w:val="en-US"/>
    </w:rPr>
  </w:style>
  <w:style w:type="paragraph" w:customStyle="1" w:styleId="FPTitle">
    <w:name w:val="FP Title"/>
    <w:basedOn w:val="Standard"/>
    <w:qFormat/>
    <w:pPr>
      <w:spacing w:before="10320"/>
    </w:pPr>
    <w:rPr>
      <w:color w:val="FFFFFF" w:themeColor="background1"/>
      <w:sz w:val="72"/>
      <w:szCs w:val="72"/>
    </w:rPr>
  </w:style>
  <w:style w:type="paragraph" w:customStyle="1" w:styleId="FPSubtitle">
    <w:name w:val="FP Subtitle"/>
    <w:basedOn w:val="Standard"/>
    <w:qFormat/>
    <w:pPr>
      <w:spacing w:before="420"/>
    </w:pPr>
    <w:rPr>
      <w:b/>
      <w:color w:val="FFFFFF" w:themeColor="background1"/>
      <w:sz w:val="26"/>
      <w:szCs w:val="26"/>
    </w:rPr>
  </w:style>
  <w:style w:type="paragraph" w:customStyle="1" w:styleId="Copyright">
    <w:name w:val="Copyright"/>
    <w:basedOn w:val="Standard"/>
    <w:qFormat/>
    <w:rPr>
      <w:noProof/>
      <w:sz w:val="13"/>
      <w:lang w:val="en-US"/>
    </w:rPr>
  </w:style>
  <w:style w:type="paragraph" w:customStyle="1" w:styleId="TitleHeadline">
    <w:name w:val="Title Headline"/>
    <w:basedOn w:val="Standard"/>
    <w:qFormat/>
    <w:rPr>
      <w:color w:val="FFFFFF" w:themeColor="background1"/>
      <w:spacing w:val="-14"/>
      <w:sz w:val="60"/>
      <w:szCs w:val="60"/>
    </w:rPr>
  </w:style>
  <w:style w:type="paragraph" w:customStyle="1" w:styleId="TitleText1">
    <w:name w:val="Title Text 1"/>
    <w:basedOn w:val="TitleHeadline"/>
    <w:next w:val="TitleText2"/>
    <w:qFormat/>
    <w:pPr>
      <w:spacing w:before="180"/>
    </w:pPr>
    <w:rPr>
      <w:b/>
      <w:sz w:val="28"/>
    </w:rPr>
  </w:style>
  <w:style w:type="paragraph" w:customStyle="1" w:styleId="TitleText2">
    <w:name w:val="Title Text 2"/>
    <w:basedOn w:val="TitleHeadline"/>
    <w:qFormat/>
    <w:rPr>
      <w:b/>
      <w:sz w:val="28"/>
    </w:rPr>
  </w:style>
  <w:style w:type="paragraph" w:customStyle="1" w:styleId="Infotext">
    <w:name w:val="Infotext"/>
    <w:basedOn w:val="Standard"/>
    <w:qFormat/>
    <w:pPr>
      <w:spacing w:before="20"/>
    </w:pPr>
    <w:rPr>
      <w:lang w:val="de-DE"/>
    </w:rPr>
  </w:style>
  <w:style w:type="paragraph" w:customStyle="1" w:styleId="TableContentBullet">
    <w:name w:val="Table Content Bullet"/>
    <w:basedOn w:val="TableContent"/>
    <w:qFormat/>
    <w:pPr>
      <w:numPr>
        <w:numId w:val="16"/>
      </w:numPr>
    </w:pPr>
    <w:rPr>
      <w:noProof/>
      <w:lang w:val="en-US"/>
    </w:rPr>
  </w:style>
  <w:style w:type="paragraph" w:customStyle="1" w:styleId="TableContentgrey">
    <w:name w:val="Table Content (grey)"/>
    <w:basedOn w:val="TableContentwhite"/>
    <w:qFormat/>
    <w:rPr>
      <w:color w:val="8CA3AF"/>
    </w:rPr>
  </w:style>
  <w:style w:type="paragraph" w:customStyle="1" w:styleId="Textlegal">
    <w:name w:val="Text legal"/>
    <w:basedOn w:val="TableContent"/>
    <w:qFormat/>
    <w:rPr>
      <w:noProof/>
      <w:sz w:val="13"/>
      <w:lang w:val="de-DE"/>
    </w:rPr>
  </w:style>
  <w:style w:type="paragraph" w:customStyle="1" w:styleId="TextAddress">
    <w:name w:val="Text Address"/>
    <w:basedOn w:val="TableContent"/>
    <w:qFormat/>
    <w:rPr>
      <w:noProof/>
      <w:sz w:val="15"/>
      <w:lang w:val="de-DE"/>
    </w:rPr>
  </w:style>
  <w:style w:type="paragraph" w:customStyle="1" w:styleId="medapstxt05">
    <w:name w:val="medaps_txt_05"/>
    <w:basedOn w:val="Standard"/>
    <w:pPr>
      <w:spacing w:before="90" w:after="90"/>
    </w:pPr>
    <w:rPr>
      <w:rFonts w:ascii="Times New Roman" w:hAnsi="Times New Roman"/>
      <w:color w:val="333333"/>
      <w:sz w:val="17"/>
      <w:szCs w:val="17"/>
      <w:lang w:val="en-US"/>
    </w:rPr>
  </w:style>
  <w:style w:type="paragraph" w:customStyle="1" w:styleId="cell">
    <w:name w:val="cell"/>
    <w:basedOn w:val="Standard"/>
    <w:rPr>
      <w:rFonts w:ascii="Times New Roman" w:hAnsi="Times New Roman"/>
      <w:color w:val="333333"/>
      <w:sz w:val="24"/>
      <w:lang w:val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locked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de-DE" w:eastAsia="de-DE"/>
    </w:rPr>
  </w:style>
  <w:style w:type="character" w:styleId="BesuchterHyperlink">
    <w:name w:val="FollowedHyperlink"/>
    <w:basedOn w:val="Absatz-Standardschriftart"/>
    <w:lock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iemens Sans" w:hAnsi="Siemens Sans"/>
      <w:color w:val="000000"/>
      <w:sz w:val="18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spacing w:before="600" w:after="240"/>
      <w:ind w:left="454" w:hanging="454"/>
      <w:outlineLvl w:val="0"/>
    </w:pPr>
    <w:rPr>
      <w:rFonts w:cs="Arial"/>
      <w:bCs/>
      <w:color w:val="005B81"/>
      <w:kern w:val="32"/>
      <w:sz w:val="44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spacing w:before="480" w:after="240"/>
      <w:ind w:left="454" w:hanging="454"/>
      <w:outlineLvl w:val="1"/>
    </w:pPr>
    <w:rPr>
      <w:rFonts w:cs="Arial"/>
      <w:b/>
      <w:bCs/>
      <w:iCs/>
      <w:color w:val="B1AFA1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360"/>
      <w:ind w:left="709" w:hanging="709"/>
      <w:outlineLvl w:val="2"/>
    </w:pPr>
    <w:rPr>
      <w:rFonts w:cs="Arial"/>
      <w:b/>
      <w:bCs/>
      <w:color w:val="B1AFA1"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tabs>
        <w:tab w:val="clear" w:pos="864"/>
      </w:tabs>
      <w:spacing w:before="360"/>
      <w:ind w:left="851" w:hanging="851"/>
      <w:outlineLvl w:val="3"/>
    </w:pPr>
    <w:rPr>
      <w:b/>
      <w:bCs/>
      <w:color w:val="B1AFA1"/>
      <w:sz w:val="24"/>
      <w:szCs w:val="28"/>
    </w:rPr>
  </w:style>
  <w:style w:type="paragraph" w:styleId="berschrift5">
    <w:name w:val="heading 5"/>
    <w:basedOn w:val="berschrift4"/>
    <w:next w:val="Standard"/>
    <w:link w:val="berschrift5Zchn"/>
    <w:qFormat/>
    <w:pPr>
      <w:numPr>
        <w:ilvl w:val="4"/>
      </w:numPr>
      <w:tabs>
        <w:tab w:val="clear" w:pos="1008"/>
      </w:tabs>
      <w:ind w:left="1077" w:hanging="1077"/>
      <w:outlineLvl w:val="4"/>
    </w:pPr>
    <w:rPr>
      <w:bCs w:val="0"/>
      <w:iCs/>
      <w:szCs w:val="26"/>
    </w:rPr>
  </w:style>
  <w:style w:type="paragraph" w:styleId="berschrift6">
    <w:name w:val="heading 6"/>
    <w:basedOn w:val="berschrift4"/>
    <w:next w:val="Standard"/>
    <w:link w:val="berschrift6Zchn"/>
    <w:qFormat/>
    <w:pPr>
      <w:numPr>
        <w:ilvl w:val="5"/>
      </w:numPr>
      <w:outlineLvl w:val="5"/>
    </w:pPr>
    <w:rPr>
      <w:bCs w:val="0"/>
      <w:szCs w:val="22"/>
    </w:rPr>
  </w:style>
  <w:style w:type="paragraph" w:styleId="berschrift7">
    <w:name w:val="heading 7"/>
    <w:basedOn w:val="berschrift4"/>
    <w:next w:val="Standard"/>
    <w:link w:val="berschrift7Zchn"/>
    <w:qFormat/>
    <w:pPr>
      <w:numPr>
        <w:ilvl w:val="6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Pr>
      <w:rFonts w:ascii="Arial" w:hAnsi="Arial" w:cs="Arial"/>
      <w:bCs/>
      <w:color w:val="005B81"/>
      <w:kern w:val="32"/>
      <w:sz w:val="44"/>
      <w:szCs w:val="24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locked/>
    <w:rPr>
      <w:rFonts w:ascii="Arial" w:hAnsi="Arial" w:cs="Arial"/>
      <w:b/>
      <w:bCs/>
      <w:iCs/>
      <w:color w:val="B1AFA1"/>
      <w:sz w:val="24"/>
      <w:szCs w:val="28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locked/>
    <w:rPr>
      <w:rFonts w:ascii="Arial" w:hAnsi="Arial" w:cs="Arial"/>
      <w:b/>
      <w:bCs/>
      <w:color w:val="B1AFA1"/>
      <w:sz w:val="24"/>
      <w:szCs w:val="24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locked/>
    <w:rPr>
      <w:rFonts w:ascii="Arial" w:hAnsi="Arial"/>
      <w:b/>
      <w:bCs/>
      <w:color w:val="B1AFA1"/>
      <w:sz w:val="24"/>
      <w:szCs w:val="28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locked/>
    <w:rPr>
      <w:rFonts w:ascii="Arial" w:hAnsi="Arial"/>
      <w:b/>
      <w:iCs/>
      <w:color w:val="A9A998"/>
      <w:sz w:val="24"/>
      <w:szCs w:val="26"/>
      <w:lang w:val="en-GB" w:eastAsia="en-US"/>
    </w:rPr>
  </w:style>
  <w:style w:type="character" w:customStyle="1" w:styleId="berschrift6Zchn">
    <w:name w:val="Überschrift 6 Zchn"/>
    <w:basedOn w:val="Absatz-Standardschriftart"/>
    <w:link w:val="berschrift6"/>
    <w:locked/>
    <w:rPr>
      <w:rFonts w:ascii="Arial" w:hAnsi="Arial"/>
      <w:b/>
      <w:color w:val="A9A998"/>
      <w:sz w:val="24"/>
      <w:szCs w:val="22"/>
      <w:lang w:val="en-GB" w:eastAsia="en-US"/>
    </w:rPr>
  </w:style>
  <w:style w:type="character" w:customStyle="1" w:styleId="berschrift7Zchn">
    <w:name w:val="Überschrift 7 Zchn"/>
    <w:basedOn w:val="Absatz-Standardschriftart"/>
    <w:link w:val="berschrift7"/>
    <w:semiHidden/>
    <w:locked/>
    <w:rPr>
      <w:rFonts w:ascii="Calibri" w:hAnsi="Calibri" w:cs="Times New Roman"/>
      <w:color w:val="000000"/>
      <w:sz w:val="24"/>
      <w:szCs w:val="24"/>
      <w:lang w:val="en-GB" w:eastAsia="x-none"/>
    </w:rPr>
  </w:style>
  <w:style w:type="character" w:customStyle="1" w:styleId="berschrift8Zchn">
    <w:name w:val="Überschrift 8 Zchn"/>
    <w:basedOn w:val="Absatz-Standardschriftart"/>
    <w:link w:val="berschrift8"/>
    <w:semiHidden/>
    <w:locked/>
    <w:rPr>
      <w:rFonts w:ascii="Calibri" w:hAnsi="Calibri" w:cs="Times New Roman"/>
      <w:i/>
      <w:iCs/>
      <w:color w:val="000000"/>
      <w:sz w:val="24"/>
      <w:szCs w:val="24"/>
      <w:lang w:val="en-GB" w:eastAsia="x-none"/>
    </w:rPr>
  </w:style>
  <w:style w:type="character" w:customStyle="1" w:styleId="berschrift9Zchn">
    <w:name w:val="Überschrift 9 Zchn"/>
    <w:basedOn w:val="Absatz-Standardschriftart"/>
    <w:link w:val="berschrift9"/>
    <w:semiHidden/>
    <w:locked/>
    <w:rPr>
      <w:rFonts w:ascii="Cambria" w:hAnsi="Cambria" w:cs="Times New Roman"/>
      <w:color w:val="000000"/>
      <w:lang w:val="en-GB" w:eastAsia="x-none"/>
    </w:rPr>
  </w:style>
  <w:style w:type="paragraph" w:styleId="Kopfzeile">
    <w:name w:val="header"/>
    <w:basedOn w:val="Standard"/>
    <w:link w:val="KopfzeileZchn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Pr>
      <w:rFonts w:ascii="Arial" w:hAnsi="Arial" w:cs="Times New Roman"/>
      <w:color w:val="000000"/>
      <w:sz w:val="24"/>
      <w:szCs w:val="24"/>
      <w:lang w:val="en-GB" w:eastAsia="x-none"/>
    </w:rPr>
  </w:style>
  <w:style w:type="paragraph" w:customStyle="1" w:styleId="Titel3black">
    <w:name w:val="Titel_3_black"/>
    <w:basedOn w:val="Standard"/>
    <w:pPr>
      <w:spacing w:before="240" w:after="60" w:line="360" w:lineRule="auto"/>
      <w:ind w:left="851"/>
    </w:pPr>
    <w:rPr>
      <w:sz w:val="32"/>
      <w:szCs w:val="20"/>
    </w:rPr>
  </w:style>
  <w:style w:type="paragraph" w:customStyle="1" w:styleId="header1purple">
    <w:name w:val="header_1 purple"/>
    <w:basedOn w:val="Standard"/>
    <w:rPr>
      <w:color w:val="46166B"/>
    </w:rPr>
  </w:style>
  <w:style w:type="paragraph" w:styleId="Fuzeile">
    <w:name w:val="footer"/>
    <w:basedOn w:val="Standard"/>
    <w:link w:val="FuzeileZchn"/>
    <w:pPr>
      <w:tabs>
        <w:tab w:val="center" w:pos="4153"/>
        <w:tab w:val="right" w:pos="8306"/>
      </w:tabs>
    </w:pPr>
    <w:rPr>
      <w:color w:val="auto"/>
      <w:sz w:val="12"/>
      <w:szCs w:val="20"/>
    </w:rPr>
  </w:style>
  <w:style w:type="character" w:customStyle="1" w:styleId="FuzeileZchn">
    <w:name w:val="Fußzeile Zchn"/>
    <w:basedOn w:val="Absatz-Standardschriftart"/>
    <w:link w:val="Fuzeile"/>
    <w:semiHidden/>
    <w:locked/>
    <w:rPr>
      <w:rFonts w:ascii="Arial" w:hAnsi="Arial" w:cs="Times New Roman"/>
      <w:color w:val="000000"/>
      <w:sz w:val="24"/>
      <w:szCs w:val="24"/>
      <w:lang w:val="en-GB" w:eastAsia="x-none"/>
    </w:rPr>
  </w:style>
  <w:style w:type="character" w:styleId="Seitenzahl">
    <w:name w:val="page number"/>
    <w:basedOn w:val="Absatz-Standardschriftart"/>
    <w:rPr>
      <w:rFonts w:ascii="Siemens Sans" w:hAnsi="Siemens Sans" w:cs="Times New Roman"/>
      <w:sz w:val="16"/>
      <w:lang w:val="en-GB" w:eastAsia="x-none"/>
    </w:rPr>
  </w:style>
  <w:style w:type="paragraph" w:styleId="Verzeichnis3">
    <w:name w:val="toc 3"/>
    <w:basedOn w:val="Standard"/>
    <w:next w:val="Standard"/>
    <w:autoRedefine/>
    <w:uiPriority w:val="39"/>
    <w:pPr>
      <w:spacing w:before="60"/>
      <w:ind w:left="227"/>
    </w:pPr>
    <w:rPr>
      <w:color w:val="B1AFA1"/>
      <w:szCs w:val="26"/>
    </w:rPr>
  </w:style>
  <w:style w:type="paragraph" w:customStyle="1" w:styleId="PartX">
    <w:name w:val="Part_X"/>
    <w:pPr>
      <w:spacing w:before="400"/>
      <w:ind w:left="851"/>
      <w:jc w:val="center"/>
    </w:pPr>
    <w:rPr>
      <w:rFonts w:ascii="Siemens Sans" w:hAnsi="Siemens Sans"/>
      <w:color w:val="000000"/>
      <w:sz w:val="32"/>
      <w:lang w:val="en-GB" w:eastAsia="en-US"/>
    </w:rPr>
  </w:style>
  <w:style w:type="paragraph" w:customStyle="1" w:styleId="PSD">
    <w:name w:val="PSD"/>
    <w:pPr>
      <w:spacing w:before="400"/>
      <w:ind w:left="851"/>
      <w:jc w:val="center"/>
    </w:pPr>
    <w:rPr>
      <w:rFonts w:ascii="Siemens Sans" w:hAnsi="Siemens Sans"/>
      <w:color w:val="000000"/>
      <w:sz w:val="32"/>
      <w:lang w:val="en-GB" w:eastAsia="en-US"/>
    </w:rPr>
  </w:style>
  <w:style w:type="paragraph" w:customStyle="1" w:styleId="Bullets">
    <w:name w:val="Bullets"/>
    <w:basedOn w:val="Standard"/>
    <w:pPr>
      <w:numPr>
        <w:numId w:val="4"/>
      </w:numPr>
    </w:pPr>
    <w:rPr>
      <w:color w:val="auto"/>
      <w:lang w:val="de-DE"/>
    </w:rPr>
  </w:style>
  <w:style w:type="paragraph" w:customStyle="1" w:styleId="ListenAuto">
    <w:name w:val="Listen_Auto"/>
    <w:basedOn w:val="Standard"/>
    <w:pPr>
      <w:numPr>
        <w:numId w:val="5"/>
      </w:numPr>
    </w:pPr>
  </w:style>
  <w:style w:type="paragraph" w:customStyle="1" w:styleId="ListenManuel">
    <w:name w:val="Listen_Manuel"/>
    <w:basedOn w:val="Standard"/>
    <w:pPr>
      <w:ind w:left="431" w:hanging="431"/>
    </w:pPr>
  </w:style>
  <w:style w:type="paragraph" w:customStyle="1" w:styleId="Figure">
    <w:name w:val="Figure"/>
    <w:next w:val="Standard"/>
    <w:pPr>
      <w:spacing w:before="120"/>
    </w:pPr>
    <w:rPr>
      <w:rFonts w:ascii="Siemens Sans" w:hAnsi="Siemens Sans"/>
      <w:i/>
      <w:sz w:val="16"/>
      <w:lang w:val="en-GB" w:eastAsia="en-US"/>
    </w:rPr>
  </w:style>
  <w:style w:type="paragraph" w:customStyle="1" w:styleId="PullQuote">
    <w:name w:val="Pull Quote"/>
    <w:next w:val="Standard"/>
    <w:pPr>
      <w:pBdr>
        <w:top w:val="single" w:sz="24" w:space="1" w:color="46166B"/>
        <w:bottom w:val="single" w:sz="12" w:space="1" w:color="999999"/>
      </w:pBdr>
      <w:spacing w:before="120" w:after="120"/>
      <w:ind w:left="851"/>
      <w:jc w:val="center"/>
    </w:pPr>
    <w:rPr>
      <w:rFonts w:ascii="Siemens Sans" w:hAnsi="Siemens Sans"/>
      <w:b/>
      <w:sz w:val="24"/>
      <w:lang w:eastAsia="en-US"/>
    </w:rPr>
  </w:style>
  <w:style w:type="paragraph" w:customStyle="1" w:styleId="TableTitel">
    <w:name w:val="Table Titel"/>
    <w:pPr>
      <w:spacing w:before="60" w:after="60"/>
      <w:ind w:left="57"/>
    </w:pPr>
    <w:rPr>
      <w:rFonts w:ascii="Siemens Sans" w:hAnsi="Siemens Sans"/>
      <w:b/>
      <w:color w:val="FFFFFF" w:themeColor="background1"/>
      <w:sz w:val="18"/>
      <w:lang w:val="en-GB" w:eastAsia="en-US"/>
    </w:rPr>
  </w:style>
  <w:style w:type="paragraph" w:customStyle="1" w:styleId="TableContent">
    <w:name w:val="Table Content"/>
    <w:pPr>
      <w:spacing w:before="60" w:after="60"/>
      <w:ind w:left="57"/>
    </w:pPr>
    <w:rPr>
      <w:rFonts w:ascii="Siemens Sans" w:hAnsi="Siemens Sans"/>
      <w:sz w:val="18"/>
      <w:lang w:val="en-GB" w:eastAsia="en-US"/>
    </w:rPr>
  </w:style>
  <w:style w:type="paragraph" w:customStyle="1" w:styleId="TableSubtitel">
    <w:name w:val="Table Subtitel"/>
    <w:pPr>
      <w:spacing w:before="120" w:after="120"/>
      <w:ind w:left="113"/>
    </w:pPr>
    <w:rPr>
      <w:rFonts w:ascii="Siemens Sans" w:hAnsi="Siemens Sans"/>
      <w:b/>
      <w:lang w:val="en-GB" w:eastAsia="en-US"/>
    </w:rPr>
  </w:style>
  <w:style w:type="paragraph" w:customStyle="1" w:styleId="BulletFirst">
    <w:name w:val="Bullet First"/>
    <w:basedOn w:val="Bullets"/>
    <w:next w:val="Bullets"/>
    <w:pPr>
      <w:spacing w:before="280"/>
    </w:pPr>
    <w:rPr>
      <w:lang w:val="en-GB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227"/>
        <w:tab w:val="right" w:leader="dot" w:pos="9639"/>
      </w:tabs>
      <w:spacing w:before="120"/>
      <w:ind w:left="340" w:hanging="340"/>
    </w:pPr>
    <w:rPr>
      <w:b/>
      <w:bCs/>
      <w:caps/>
      <w:noProof/>
      <w:color w:val="005B81"/>
      <w:szCs w:val="26"/>
      <w:lang w:val="de-DE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640"/>
        <w:tab w:val="right" w:leader="dot" w:pos="9854"/>
      </w:tabs>
      <w:spacing w:before="60"/>
      <w:ind w:left="227"/>
    </w:pPr>
    <w:rPr>
      <w:bCs/>
      <w:noProof/>
      <w:color w:val="B1AFA1"/>
      <w:szCs w:val="26"/>
      <w:lang w:val="de-DE"/>
    </w:rPr>
  </w:style>
  <w:style w:type="paragraph" w:styleId="Verzeichnis4">
    <w:name w:val="toc 4"/>
    <w:basedOn w:val="Standard"/>
    <w:next w:val="Standard"/>
    <w:autoRedefine/>
    <w:uiPriority w:val="39"/>
    <w:pPr>
      <w:tabs>
        <w:tab w:val="left" w:pos="940"/>
        <w:tab w:val="right" w:leader="dot" w:pos="9854"/>
      </w:tabs>
      <w:spacing w:before="60"/>
      <w:ind w:left="227"/>
    </w:pPr>
    <w:rPr>
      <w:color w:val="B1AFA1"/>
      <w:szCs w:val="26"/>
    </w:rPr>
  </w:style>
  <w:style w:type="paragraph" w:styleId="Verzeichnis5">
    <w:name w:val="toc 5"/>
    <w:basedOn w:val="Standard"/>
    <w:next w:val="Standard"/>
    <w:autoRedefine/>
    <w:uiPriority w:val="39"/>
    <w:pPr>
      <w:spacing w:before="60"/>
      <w:ind w:left="227"/>
    </w:pPr>
    <w:rPr>
      <w:color w:val="A9A998"/>
      <w:szCs w:val="26"/>
    </w:rPr>
  </w:style>
  <w:style w:type="paragraph" w:styleId="Verzeichnis6">
    <w:name w:val="toc 6"/>
    <w:basedOn w:val="Standard"/>
    <w:next w:val="Standard"/>
    <w:autoRedefine/>
    <w:semiHidden/>
    <w:pPr>
      <w:spacing w:before="60"/>
      <w:ind w:left="170"/>
    </w:pPr>
    <w:rPr>
      <w:szCs w:val="26"/>
    </w:rPr>
  </w:style>
  <w:style w:type="paragraph" w:styleId="Verzeichnis7">
    <w:name w:val="toc 7"/>
    <w:basedOn w:val="Standard"/>
    <w:next w:val="Standard"/>
    <w:autoRedefine/>
    <w:semiHidden/>
    <w:pPr>
      <w:spacing w:before="60"/>
      <w:ind w:left="170"/>
    </w:pPr>
    <w:rPr>
      <w:szCs w:val="26"/>
    </w:rPr>
  </w:style>
  <w:style w:type="paragraph" w:styleId="Verzeichnis8">
    <w:name w:val="toc 8"/>
    <w:basedOn w:val="Standard"/>
    <w:next w:val="Standard"/>
    <w:autoRedefine/>
    <w:semiHidden/>
    <w:rPr>
      <w:rFonts w:ascii="Times New Roman" w:hAnsi="Times New Roman"/>
      <w:szCs w:val="26"/>
    </w:rPr>
  </w:style>
  <w:style w:type="paragraph" w:styleId="Verzeichnis9">
    <w:name w:val="toc 9"/>
    <w:basedOn w:val="Standard"/>
    <w:next w:val="Standard"/>
    <w:autoRedefine/>
    <w:semiHidden/>
    <w:rPr>
      <w:rFonts w:ascii="Times New Roman" w:hAnsi="Times New Roman"/>
      <w:szCs w:val="26"/>
    </w:rPr>
  </w:style>
  <w:style w:type="character" w:styleId="Hyperlink">
    <w:name w:val="Hyperlink"/>
    <w:basedOn w:val="Absatz-Standardschriftart"/>
    <w:rPr>
      <w:rFonts w:cs="Times New Roman"/>
      <w:color w:val="000000" w:themeColor="text1"/>
      <w:u w:val="none"/>
    </w:rPr>
  </w:style>
  <w:style w:type="table" w:customStyle="1" w:styleId="Standardtabelle">
    <w:name w:val="Standardtabelle"/>
    <w:rPr>
      <w:rFonts w:ascii="Arial Narrow" w:hAnsi="Arial Narrow"/>
      <w:lang w:val="en-US" w:eastAsia="en-US"/>
    </w:rPr>
    <w:tblPr>
      <w:tblInd w:w="0" w:type="dxa"/>
      <w:tblBorders>
        <w:top w:val="single" w:sz="4" w:space="0" w:color="46166B"/>
        <w:bottom w:val="single" w:sz="4" w:space="0" w:color="46166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bildungsverzeichnis">
    <w:name w:val="table of figures"/>
    <w:basedOn w:val="Standard"/>
    <w:next w:val="Standard"/>
    <w:semiHidden/>
    <w:pPr>
      <w:spacing w:before="120"/>
      <w:ind w:left="403" w:hanging="403"/>
    </w:pPr>
  </w:style>
  <w:style w:type="paragraph" w:customStyle="1" w:styleId="Organigramm">
    <w:name w:val="Organigramm"/>
    <w:pPr>
      <w:spacing w:before="120"/>
      <w:ind w:left="851"/>
      <w:jc w:val="center"/>
    </w:pPr>
    <w:rPr>
      <w:rFonts w:ascii="Siemens Sans" w:hAnsi="Siemens Sans"/>
      <w:lang w:eastAsia="en-US"/>
    </w:rPr>
  </w:style>
  <w:style w:type="paragraph" w:customStyle="1" w:styleId="TblofContent">
    <w:name w:val="Tbl_of_Content"/>
    <w:next w:val="Standard"/>
    <w:pPr>
      <w:spacing w:before="360" w:after="240"/>
    </w:pPr>
    <w:rPr>
      <w:rFonts w:ascii="Siemens Sans" w:hAnsi="Siemens Sans"/>
      <w:color w:val="005B81"/>
      <w:sz w:val="44"/>
      <w:lang w:val="en-GB" w:eastAsia="en-US"/>
    </w:rPr>
  </w:style>
  <w:style w:type="table" w:styleId="Tabellenraster">
    <w:name w:val="Table Grid"/>
    <w:basedOn w:val="NormaleTabelle"/>
    <w:pPr>
      <w:spacing w:befor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black">
    <w:name w:val="header_2 black"/>
    <w:basedOn w:val="Standard"/>
    <w:rPr>
      <w:noProof/>
      <w:sz w:val="24"/>
      <w:lang w:val="en-US"/>
    </w:rPr>
  </w:style>
  <w:style w:type="paragraph" w:customStyle="1" w:styleId="Titel1lila">
    <w:name w:val="Titel_1_lila"/>
    <w:basedOn w:val="Standard"/>
    <w:pPr>
      <w:spacing w:before="3020" w:line="360" w:lineRule="auto"/>
      <w:ind w:left="851"/>
      <w:jc w:val="both"/>
    </w:pPr>
    <w:rPr>
      <w:b/>
      <w:bCs/>
      <w:color w:val="46166B"/>
      <w:sz w:val="32"/>
      <w:szCs w:val="20"/>
    </w:rPr>
  </w:style>
  <w:style w:type="paragraph" w:customStyle="1" w:styleId="Titel2Black">
    <w:name w:val="Titel_2_Black"/>
    <w:basedOn w:val="Standard"/>
    <w:link w:val="Titel2BlackChar"/>
    <w:pPr>
      <w:ind w:left="851"/>
      <w:jc w:val="both"/>
    </w:pPr>
    <w:rPr>
      <w:rFonts w:ascii="Arial Black" w:hAnsi="Arial Black"/>
      <w:sz w:val="32"/>
      <w:szCs w:val="20"/>
    </w:rPr>
  </w:style>
  <w:style w:type="character" w:customStyle="1" w:styleId="Titel2BlackChar">
    <w:name w:val="Titel_2_Black Char"/>
    <w:basedOn w:val="Absatz-Standardschriftart"/>
    <w:link w:val="Titel2Black"/>
    <w:locked/>
    <w:rPr>
      <w:rFonts w:ascii="Arial Black" w:hAnsi="Arial Black" w:cs="Times New Roman"/>
      <w:color w:val="000000"/>
      <w:sz w:val="32"/>
      <w:lang w:val="en-GB" w:eastAsia="en-US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Pr>
      <w:rFonts w:cs="Times New Roman"/>
      <w:color w:val="000000"/>
      <w:sz w:val="2"/>
      <w:lang w:val="en-GB" w:eastAsia="x-non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TableContentwhite">
    <w:name w:val="Table Content (white)"/>
    <w:basedOn w:val="TableContent"/>
    <w:qFormat/>
    <w:rPr>
      <w:b/>
      <w:noProof/>
      <w:color w:val="FFFFFF" w:themeColor="background1"/>
      <w:lang w:val="en-US"/>
    </w:rPr>
  </w:style>
  <w:style w:type="paragraph" w:customStyle="1" w:styleId="FPTitle">
    <w:name w:val="FP Title"/>
    <w:basedOn w:val="Standard"/>
    <w:qFormat/>
    <w:pPr>
      <w:spacing w:before="10320"/>
    </w:pPr>
    <w:rPr>
      <w:color w:val="FFFFFF" w:themeColor="background1"/>
      <w:sz w:val="72"/>
      <w:szCs w:val="72"/>
    </w:rPr>
  </w:style>
  <w:style w:type="paragraph" w:customStyle="1" w:styleId="FPSubtitle">
    <w:name w:val="FP Subtitle"/>
    <w:basedOn w:val="Standard"/>
    <w:qFormat/>
    <w:pPr>
      <w:spacing w:before="420"/>
    </w:pPr>
    <w:rPr>
      <w:b/>
      <w:color w:val="FFFFFF" w:themeColor="background1"/>
      <w:sz w:val="26"/>
      <w:szCs w:val="26"/>
    </w:rPr>
  </w:style>
  <w:style w:type="paragraph" w:customStyle="1" w:styleId="Copyright">
    <w:name w:val="Copyright"/>
    <w:basedOn w:val="Standard"/>
    <w:qFormat/>
    <w:rPr>
      <w:noProof/>
      <w:sz w:val="13"/>
      <w:lang w:val="en-US"/>
    </w:rPr>
  </w:style>
  <w:style w:type="paragraph" w:customStyle="1" w:styleId="TitleHeadline">
    <w:name w:val="Title Headline"/>
    <w:basedOn w:val="Standard"/>
    <w:qFormat/>
    <w:rPr>
      <w:color w:val="FFFFFF" w:themeColor="background1"/>
      <w:spacing w:val="-14"/>
      <w:sz w:val="60"/>
      <w:szCs w:val="60"/>
    </w:rPr>
  </w:style>
  <w:style w:type="paragraph" w:customStyle="1" w:styleId="TitleText1">
    <w:name w:val="Title Text 1"/>
    <w:basedOn w:val="TitleHeadline"/>
    <w:next w:val="TitleText2"/>
    <w:qFormat/>
    <w:pPr>
      <w:spacing w:before="180"/>
    </w:pPr>
    <w:rPr>
      <w:b/>
      <w:sz w:val="28"/>
    </w:rPr>
  </w:style>
  <w:style w:type="paragraph" w:customStyle="1" w:styleId="TitleText2">
    <w:name w:val="Title Text 2"/>
    <w:basedOn w:val="TitleHeadline"/>
    <w:qFormat/>
    <w:rPr>
      <w:b/>
      <w:sz w:val="28"/>
    </w:rPr>
  </w:style>
  <w:style w:type="paragraph" w:customStyle="1" w:styleId="Infotext">
    <w:name w:val="Infotext"/>
    <w:basedOn w:val="Standard"/>
    <w:qFormat/>
    <w:pPr>
      <w:spacing w:before="20"/>
    </w:pPr>
    <w:rPr>
      <w:lang w:val="de-DE"/>
    </w:rPr>
  </w:style>
  <w:style w:type="paragraph" w:customStyle="1" w:styleId="TableContentBullet">
    <w:name w:val="Table Content Bullet"/>
    <w:basedOn w:val="TableContent"/>
    <w:qFormat/>
    <w:pPr>
      <w:numPr>
        <w:numId w:val="16"/>
      </w:numPr>
    </w:pPr>
    <w:rPr>
      <w:noProof/>
      <w:lang w:val="en-US"/>
    </w:rPr>
  </w:style>
  <w:style w:type="paragraph" w:customStyle="1" w:styleId="TableContentgrey">
    <w:name w:val="Table Content (grey)"/>
    <w:basedOn w:val="TableContentwhite"/>
    <w:qFormat/>
    <w:rPr>
      <w:color w:val="8CA3AF"/>
    </w:rPr>
  </w:style>
  <w:style w:type="paragraph" w:customStyle="1" w:styleId="Textlegal">
    <w:name w:val="Text legal"/>
    <w:basedOn w:val="TableContent"/>
    <w:qFormat/>
    <w:rPr>
      <w:noProof/>
      <w:sz w:val="13"/>
      <w:lang w:val="de-DE"/>
    </w:rPr>
  </w:style>
  <w:style w:type="paragraph" w:customStyle="1" w:styleId="TextAddress">
    <w:name w:val="Text Address"/>
    <w:basedOn w:val="TableContent"/>
    <w:qFormat/>
    <w:rPr>
      <w:noProof/>
      <w:sz w:val="15"/>
      <w:lang w:val="de-DE"/>
    </w:rPr>
  </w:style>
  <w:style w:type="paragraph" w:customStyle="1" w:styleId="medapstxt05">
    <w:name w:val="medaps_txt_05"/>
    <w:basedOn w:val="Standard"/>
    <w:pPr>
      <w:spacing w:before="90" w:after="90"/>
    </w:pPr>
    <w:rPr>
      <w:rFonts w:ascii="Times New Roman" w:hAnsi="Times New Roman"/>
      <w:color w:val="333333"/>
      <w:sz w:val="17"/>
      <w:szCs w:val="17"/>
      <w:lang w:val="en-US"/>
    </w:rPr>
  </w:style>
  <w:style w:type="paragraph" w:customStyle="1" w:styleId="cell">
    <w:name w:val="cell"/>
    <w:basedOn w:val="Standard"/>
    <w:rPr>
      <w:rFonts w:ascii="Times New Roman" w:hAnsi="Times New Roman"/>
      <w:color w:val="333333"/>
      <w:sz w:val="24"/>
      <w:lang w:val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locked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de-DE" w:eastAsia="de-DE"/>
    </w:rPr>
  </w:style>
  <w:style w:type="character" w:styleId="BesuchterHyperlink">
    <w:name w:val="FollowedHyperlink"/>
    <w:basedOn w:val="Absatz-Standardschriftart"/>
    <w:lock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15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0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60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1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60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3app.siemens.com/mcms/infocenter/dokumentencenter/sc/ic/Documentsu20Brochures/IE_Verkabelungstechnik_DE_Web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iemens.de/tia-selection-tool/star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3app.siemens.com/mcms/infocenter/dokumentencenter/sc/ic/Documentsu20Brochures/Bestelluebersicht_IE_Switches.pdf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3.siemens.com/mcms/industrial-communication/de/ie/industrial-ethernet-switches-medienkonverter/Seiten/scalance-x-000-unmanaged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3.siemens.com/mcms/industrial-communication/de/ie/industrial-ethernet-switches-medienkonverter/Seiten/scalance-x-000-unmanaged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003DW8E\AppData\Local\Microsoft\Windows\Temporary%20Internet%20Files\Content.Outlook\FHUR6KNG\EGH_75200_Template_Produkt-Basisinformationen_v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C1ED3-D724-4470-8892-4EECA815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EGH_75200_Template_Produkt-Basisinformationen_v3.dotx</Template>
  <TotalTime>0</TotalTime>
  <Pages>3</Pages>
  <Words>538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</vt:lpstr>
    </vt:vector>
  </TitlesOfParts>
  <Company>Siemens AG</Company>
  <LinksUpToDate>false</LinksUpToDate>
  <CharactersWithSpaces>4652</CharactersWithSpaces>
  <SharedDoc>false</SharedDoc>
  <HLinks>
    <vt:vector size="24" baseType="variant">
      <vt:variant>
        <vt:i4>1114169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_Toc168390931</vt:lpwstr>
      </vt:variant>
      <vt:variant>
        <vt:i4>1114169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_Toc168390930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_Toc168390929</vt:lpwstr>
      </vt:variant>
      <vt:variant>
        <vt:i4>1179705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_Toc168390900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Lohrmann, Kristina</dc:creator>
  <cp:keywords>C_Restricted</cp:keywords>
  <dc:description>Template build by tianberlin</dc:description>
  <cp:lastModifiedBy>Fenske, Cordula</cp:lastModifiedBy>
  <cp:revision>6</cp:revision>
  <cp:lastPrinted>2018-01-11T16:26:00Z</cp:lastPrinted>
  <dcterms:created xsi:type="dcterms:W3CDTF">2018-04-18T14:20:00Z</dcterms:created>
  <dcterms:modified xsi:type="dcterms:W3CDTF">2018-06-26T07:47:00Z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Restricted</vt:lpwstr>
  </property>
  <property fmtid="{D5CDD505-2E9C-101B-9397-08002B2CF9AE}" pid="3" name="_AdHocReviewCycleID">
    <vt:i4>1857297310</vt:i4>
  </property>
  <property fmtid="{D5CDD505-2E9C-101B-9397-08002B2CF9AE}" pid="4" name="_NewReviewCycle">
    <vt:lpwstr/>
  </property>
  <property fmtid="{D5CDD505-2E9C-101B-9397-08002B2CF9AE}" pid="5" name="_EmailSubject">
    <vt:lpwstr>для сайта и рассылки по CI</vt:lpwstr>
  </property>
  <property fmtid="{D5CDD505-2E9C-101B-9397-08002B2CF9AE}" pid="6" name="_AuthorEmail">
    <vt:lpwstr>dmitry.gavrikov@siemens.com</vt:lpwstr>
  </property>
  <property fmtid="{D5CDD505-2E9C-101B-9397-08002B2CF9AE}" pid="7" name="_AuthorEmailDisplayName">
    <vt:lpwstr>Gavrikov, Dmitry (RC-RU PD PA CI)</vt:lpwstr>
  </property>
</Properties>
</file>