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21"/>
        <w:gridCol w:w="3343"/>
      </w:tblGrid>
      <w:tr>
        <w:trPr>
          <w:trHeight w:val="1133"/>
        </w:trPr>
        <w:tc>
          <w:tcPr>
            <w:tcW w:w="6521" w:type="dxa"/>
          </w:tcPr>
          <w:p>
            <w:pPr>
              <w:pStyle w:val="medapstxt05"/>
              <w:rPr>
                <w:rFonts w:ascii="Arial" w:hAnsi="Arial"/>
                <w:lang w:val="ru"/>
              </w:rPr>
            </w:pPr>
            <w:bookmarkStart w:id="0" w:name="_GoBack"/>
            <w:bookmarkEnd w:id="0"/>
            <w:r>
              <w:rPr>
                <w:rFonts w:ascii="Arial" w:hAnsi="Arial"/>
                <w:lang w:val="ru"/>
              </w:rPr>
              <w:t xml:space="preserve">Управляемые коммутаторы Industrial Ethernet линейки продуктов SCALANCE </w:t>
            </w:r>
            <w:r>
              <w:rPr>
                <w:rFonts w:ascii="Arial" w:hAnsi="Arial" w:hint="eastAsia"/>
                <w:lang w:val="ru" w:eastAsia="zh-CN"/>
              </w:rPr>
              <w:br/>
            </w:r>
            <w:r>
              <w:rPr>
                <w:rFonts w:ascii="Arial" w:hAnsi="Arial"/>
                <w:lang w:val="ru"/>
              </w:rPr>
              <w:t>XB-200 с 8 или 16 портами Ethernet оптимально подходят для проектирования концепций автоматизации сетей Industrial Ethernet с линейной и кольцевой структурой или со структурой типа «звезда» без использования шкафа управления. Они имеют прочный плоский металлический корпус IP65/67, до 4</w:t>
            </w:r>
            <w:r>
              <w:rPr>
                <w:rFonts w:ascii="Arial" w:hAnsi="Arial"/>
              </w:rPr>
              <w:t> </w:t>
            </w:r>
            <w:r>
              <w:rPr>
                <w:rFonts w:ascii="Arial" w:hAnsi="Arial"/>
                <w:lang w:val="ru"/>
              </w:rPr>
              <w:t>портов Гбит и до 4 портов PoE для вариантов с использованием Power-over-Ethernet (PoE).</w:t>
            </w:r>
          </w:p>
          <w:p>
            <w:pPr>
              <w:pStyle w:val="medapstxt05"/>
              <w:rPr>
                <w:rFonts w:ascii="Arial" w:hAnsi="Arial"/>
                <w:lang w:val="ru"/>
              </w:rPr>
            </w:pPr>
            <w:r>
              <w:rPr>
                <w:rFonts w:ascii="Arial" w:hAnsi="Arial"/>
                <w:lang w:val="ru"/>
              </w:rPr>
              <w:t>Коммутаторы SCALANCE XP-200 – правильный выбор для надежной коммуникации в суровых условиях.</w:t>
            </w:r>
          </w:p>
          <w:p>
            <w:pPr>
              <w:pStyle w:val="medapstxt05"/>
              <w:rPr>
                <w:rFonts w:ascii="Siemens Sans" w:hAnsi="Siemens Sans"/>
                <w:lang w:val="ru"/>
              </w:rPr>
            </w:pPr>
          </w:p>
        </w:tc>
        <w:tc>
          <w:tcPr>
            <w:tcW w:w="3343" w:type="dxa"/>
            <w:vMerge w:val="restart"/>
          </w:tcPr>
          <w:p>
            <w:pPr>
              <w:pStyle w:val="Infotext"/>
              <w:rPr>
                <w:rFonts w:ascii="Arial" w:hAnsi="Arial"/>
                <w:lang w:val="ru"/>
              </w:rPr>
            </w:pPr>
          </w:p>
          <w:p>
            <w:pPr>
              <w:pStyle w:val="Infotext"/>
              <w:rPr>
                <w:rFonts w:ascii="Arial" w:hAnsi="Arial"/>
                <w:lang w:val="ru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781685</wp:posOffset>
                  </wp:positionH>
                  <wp:positionV relativeFrom="paragraph">
                    <wp:posOffset>15986</wp:posOffset>
                  </wp:positionV>
                  <wp:extent cx="1249045" cy="1331595"/>
                  <wp:effectExtent l="0" t="0" r="8255" b="1905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>
            <w:pPr>
              <w:pStyle w:val="Infotext"/>
              <w:rPr>
                <w:rFonts w:ascii="Arial" w:hAnsi="Arial"/>
                <w:lang w:val="ru"/>
              </w:rPr>
            </w:pPr>
          </w:p>
          <w:p>
            <w:pPr>
              <w:pStyle w:val="Infotext"/>
              <w:rPr>
                <w:rFonts w:ascii="Arial" w:hAnsi="Arial"/>
                <w:lang w:val="ru"/>
              </w:rPr>
            </w:pPr>
          </w:p>
          <w:p>
            <w:pPr>
              <w:pStyle w:val="Infotext"/>
              <w:rPr>
                <w:rFonts w:ascii="Arial" w:hAnsi="Arial"/>
                <w:lang w:val="ru"/>
              </w:rPr>
            </w:pPr>
          </w:p>
          <w:p>
            <w:pPr>
              <w:pStyle w:val="Infotext"/>
              <w:rPr>
                <w:rFonts w:ascii="Arial" w:hAnsi="Arial"/>
                <w:lang w:val="ru"/>
              </w:rPr>
            </w:pPr>
          </w:p>
          <w:p>
            <w:pPr>
              <w:pStyle w:val="Infotext"/>
              <w:rPr>
                <w:rFonts w:ascii="Arial" w:hAnsi="Arial"/>
                <w:lang w:val="ru"/>
              </w:rPr>
            </w:pPr>
          </w:p>
          <w:p>
            <w:pPr>
              <w:pStyle w:val="Infotext"/>
              <w:rPr>
                <w:rFonts w:ascii="Arial" w:hAnsi="Arial"/>
                <w:lang w:val="ru"/>
              </w:rPr>
            </w:pPr>
          </w:p>
          <w:p>
            <w:pPr>
              <w:pStyle w:val="Infotext"/>
              <w:rPr>
                <w:rFonts w:ascii="Arial" w:hAnsi="Arial"/>
                <w:lang w:val="ru"/>
              </w:rPr>
            </w:pPr>
          </w:p>
          <w:p>
            <w:pPr>
              <w:pStyle w:val="Infotext"/>
              <w:tabs>
                <w:tab w:val="left" w:pos="1559"/>
              </w:tabs>
              <w:rPr>
                <w:rFonts w:ascii="Arial" w:hAnsi="Arial"/>
                <w:lang w:val="ru" w:eastAsia="zh-CN"/>
              </w:rPr>
            </w:pPr>
          </w:p>
          <w:p>
            <w:pPr>
              <w:pStyle w:val="Infotext"/>
              <w:tabs>
                <w:tab w:val="left" w:pos="1559"/>
              </w:tabs>
              <w:rPr>
                <w:rFonts w:ascii="Arial" w:hAnsi="Arial"/>
                <w:lang w:val="ru" w:eastAsia="zh-CN"/>
              </w:rPr>
            </w:pPr>
          </w:p>
          <w:p>
            <w:pPr>
              <w:pStyle w:val="Infotext"/>
              <w:tabs>
                <w:tab w:val="left" w:pos="1559"/>
              </w:tabs>
              <w:rPr>
                <w:rFonts w:ascii="Arial" w:hAnsi="Arial"/>
              </w:rPr>
            </w:pPr>
            <w:r>
              <w:rPr>
                <w:rFonts w:ascii="Arial" w:hAnsi="Arial"/>
                <w:lang w:val="ru"/>
              </w:rPr>
              <w:tab/>
              <w:t>SCALANCE XP208</w:t>
            </w:r>
          </w:p>
          <w:p>
            <w:pPr>
              <w:pStyle w:val="Infotext"/>
              <w:tabs>
                <w:tab w:val="left" w:pos="567"/>
              </w:tabs>
              <w:rPr>
                <w:rFonts w:ascii="Arial" w:hAnsi="Arial"/>
              </w:rPr>
            </w:pPr>
          </w:p>
          <w:p>
            <w:pPr>
              <w:pStyle w:val="Infotext"/>
              <w:tabs>
                <w:tab w:val="left" w:pos="567"/>
              </w:tabs>
              <w:rPr>
                <w:rFonts w:ascii="Arial" w:hAnsi="Arial"/>
              </w:rPr>
            </w:pPr>
          </w:p>
          <w:p>
            <w:pPr>
              <w:pStyle w:val="Infotext"/>
              <w:tabs>
                <w:tab w:val="left" w:pos="567"/>
              </w:tabs>
              <w:rPr>
                <w:rFonts w:ascii="Arial" w:hAnsi="Arial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32385</wp:posOffset>
                  </wp:positionV>
                  <wp:extent cx="1628140" cy="1331595"/>
                  <wp:effectExtent l="0" t="0" r="0" b="1905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40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>
            <w:pPr>
              <w:pStyle w:val="Infotext"/>
              <w:tabs>
                <w:tab w:val="left" w:pos="1701"/>
              </w:tabs>
              <w:rPr>
                <w:rFonts w:ascii="Arial" w:hAnsi="Arial"/>
              </w:rPr>
            </w:pPr>
          </w:p>
          <w:p>
            <w:pPr>
              <w:pStyle w:val="Infotext"/>
              <w:tabs>
                <w:tab w:val="left" w:pos="1701"/>
              </w:tabs>
              <w:rPr>
                <w:rFonts w:ascii="Arial" w:hAnsi="Arial"/>
              </w:rPr>
            </w:pPr>
          </w:p>
          <w:p>
            <w:pPr>
              <w:pStyle w:val="Infotext"/>
              <w:tabs>
                <w:tab w:val="left" w:pos="1701"/>
              </w:tabs>
              <w:rPr>
                <w:rFonts w:ascii="Arial" w:hAnsi="Arial"/>
              </w:rPr>
            </w:pPr>
          </w:p>
          <w:p>
            <w:pPr>
              <w:pStyle w:val="Infotext"/>
              <w:tabs>
                <w:tab w:val="left" w:pos="1701"/>
              </w:tabs>
              <w:rPr>
                <w:rFonts w:ascii="Arial" w:hAnsi="Arial"/>
              </w:rPr>
            </w:pPr>
          </w:p>
          <w:p>
            <w:pPr>
              <w:pStyle w:val="Infotext"/>
              <w:tabs>
                <w:tab w:val="left" w:pos="1701"/>
              </w:tabs>
              <w:rPr>
                <w:rFonts w:ascii="Arial" w:hAnsi="Arial"/>
              </w:rPr>
            </w:pPr>
          </w:p>
          <w:p>
            <w:pPr>
              <w:pStyle w:val="Infotext"/>
              <w:tabs>
                <w:tab w:val="left" w:pos="1843"/>
              </w:tabs>
            </w:pPr>
          </w:p>
        </w:tc>
      </w:tr>
      <w:tr>
        <w:tc>
          <w:tcPr>
            <w:tcW w:w="6521" w:type="dxa"/>
            <w:shd w:val="clear" w:color="auto" w:fill="BECCD5"/>
          </w:tcPr>
          <w:p>
            <w:pPr>
              <w:pStyle w:val="TableContentwhite"/>
            </w:pPr>
            <w:r>
              <w:rPr>
                <w:rFonts w:ascii="Arial" w:hAnsi="Arial"/>
                <w:bCs/>
                <w:lang w:val="ru"/>
              </w:rPr>
              <w:t>Преимущества для клиента</w:t>
            </w:r>
          </w:p>
        </w:tc>
        <w:tc>
          <w:tcPr>
            <w:tcW w:w="3343" w:type="dxa"/>
            <w:vMerge/>
            <w:shd w:val="clear" w:color="auto" w:fill="BECCD5"/>
          </w:tcPr>
          <w:p>
            <w:pPr>
              <w:pStyle w:val="TableContentwhite"/>
            </w:pPr>
          </w:p>
        </w:tc>
      </w:tr>
      <w:tr>
        <w:tc>
          <w:tcPr>
            <w:tcW w:w="6521" w:type="dxa"/>
            <w:tcBorders>
              <w:bottom w:val="single" w:sz="4" w:space="0" w:color="BECCD5"/>
            </w:tcBorders>
          </w:tcPr>
          <w:p>
            <w:pPr>
              <w:pStyle w:val="TableContentBullet"/>
            </w:pPr>
            <w:r>
              <w:rPr>
                <w:rFonts w:ascii="Arial" w:hAnsi="Arial"/>
                <w:lang w:val="ru"/>
              </w:rPr>
              <w:t>Проектирование линейных и кольцевых структур Industrial Ethernet</w:t>
            </w:r>
            <w:r>
              <w:rPr>
                <w:rFonts w:ascii="Arial" w:hAnsi="Arial"/>
              </w:rPr>
              <w:t> </w:t>
            </w:r>
            <w:r>
              <w:rPr>
                <w:rFonts w:ascii="Arial" w:hAnsi="Arial"/>
                <w:lang w:val="ru"/>
              </w:rPr>
              <w:t>или структур типа «звезда» для сетей, в которых требуется высокий уровень доступности или дистанционная диагностика, без использования шкафа управления</w:t>
            </w:r>
          </w:p>
        </w:tc>
        <w:tc>
          <w:tcPr>
            <w:tcW w:w="3343" w:type="dxa"/>
            <w:vMerge/>
          </w:tcPr>
          <w:p>
            <w:pPr>
              <w:rPr>
                <w:noProof/>
              </w:rPr>
            </w:pPr>
          </w:p>
        </w:tc>
      </w:tr>
      <w:tr>
        <w:tc>
          <w:tcPr>
            <w:tcW w:w="6521" w:type="dxa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Bullet"/>
            </w:pPr>
            <w:r>
              <w:rPr>
                <w:rFonts w:ascii="Arial" w:hAnsi="Arial"/>
                <w:lang w:val="ru"/>
              </w:rPr>
              <w:t>Широкие возможности для монтажа, в том числе установка вне</w:t>
            </w:r>
            <w:r>
              <w:rPr>
                <w:rFonts w:ascii="Arial" w:hAnsi="Arial"/>
              </w:rPr>
              <w:t> </w:t>
            </w:r>
            <w:r>
              <w:rPr>
                <w:rFonts w:ascii="Arial" w:hAnsi="Arial"/>
                <w:lang w:val="ru"/>
              </w:rPr>
              <w:t>шкафа управления на держатель модуля SIMATIC, профильный монтаж ITEM или настенный монтаж</w:t>
            </w:r>
          </w:p>
        </w:tc>
        <w:tc>
          <w:tcPr>
            <w:tcW w:w="3343" w:type="dxa"/>
            <w:vMerge/>
          </w:tcPr>
          <w:p>
            <w:pPr>
              <w:rPr>
                <w:noProof/>
              </w:rPr>
            </w:pPr>
          </w:p>
        </w:tc>
      </w:tr>
      <w:tr>
        <w:tc>
          <w:tcPr>
            <w:tcW w:w="6521" w:type="dxa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Bullet"/>
            </w:pPr>
            <w:r>
              <w:rPr>
                <w:rFonts w:ascii="Arial" w:hAnsi="Arial"/>
                <w:lang w:val="ru"/>
              </w:rPr>
              <w:t>Широкие возможности использования благодаря наличию различных функций (VLAN, HRP stand by, MRP, SNMP, RSTP)</w:t>
            </w:r>
          </w:p>
        </w:tc>
        <w:tc>
          <w:tcPr>
            <w:tcW w:w="3343" w:type="dxa"/>
            <w:vMerge/>
          </w:tcPr>
          <w:p>
            <w:pPr>
              <w:rPr>
                <w:noProof/>
              </w:rPr>
            </w:pPr>
          </w:p>
        </w:tc>
      </w:tr>
      <w:tr>
        <w:tc>
          <w:tcPr>
            <w:tcW w:w="6521" w:type="dxa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Bullet"/>
            </w:pPr>
            <w:r>
              <w:rPr>
                <w:rFonts w:ascii="Arial" w:hAnsi="Arial"/>
                <w:lang w:val="ru"/>
              </w:rPr>
              <w:t xml:space="preserve">Комплексная диагностика через SNMP, интегрированный веб-сервер и CLI, дополнительно – простая диагностика на месте благодаря наличию выделенной светодиодной секции </w:t>
            </w:r>
          </w:p>
        </w:tc>
        <w:tc>
          <w:tcPr>
            <w:tcW w:w="3343" w:type="dxa"/>
          </w:tcPr>
          <w:p>
            <w:pPr>
              <w:pStyle w:val="Infotext"/>
              <w:tabs>
                <w:tab w:val="left" w:pos="1843"/>
              </w:tabs>
              <w:rPr>
                <w:rFonts w:ascii="Arial" w:hAnsi="Arial"/>
                <w:noProof/>
                <w:lang w:val="en-GB"/>
              </w:rPr>
            </w:pPr>
            <w:r>
              <w:rPr>
                <w:rFonts w:ascii="Arial" w:hAnsi="Arial"/>
                <w:noProof/>
                <w:lang w:val="ru"/>
              </w:rPr>
              <w:t xml:space="preserve"> </w:t>
            </w:r>
          </w:p>
          <w:p>
            <w:pPr>
              <w:pStyle w:val="Infotext"/>
              <w:tabs>
                <w:tab w:val="left" w:pos="992"/>
              </w:tabs>
              <w:rPr>
                <w:rFonts w:ascii="Arial" w:hAnsi="Arial"/>
                <w:lang w:val="en-GB"/>
              </w:rPr>
            </w:pPr>
            <w:r>
              <w:rPr>
                <w:rFonts w:ascii="Arial" w:hAnsi="Arial"/>
                <w:lang w:val="ru"/>
              </w:rPr>
              <w:tab/>
            </w:r>
          </w:p>
          <w:p>
            <w:pPr>
              <w:pStyle w:val="Infotext"/>
              <w:tabs>
                <w:tab w:val="left" w:pos="992"/>
              </w:tabs>
            </w:pPr>
            <w:r>
              <w:rPr>
                <w:rFonts w:ascii="Arial" w:hAnsi="Arial"/>
                <w:lang w:val="ru"/>
              </w:rPr>
              <w:tab/>
              <w:t>SCALANCE XP216</w:t>
            </w:r>
            <w:r>
              <w:rPr>
                <w:rFonts w:ascii="Arial" w:hAnsi="Arial"/>
                <w:noProof/>
                <w:lang w:val="ru"/>
              </w:rPr>
              <w:t xml:space="preserve"> </w:t>
            </w:r>
          </w:p>
        </w:tc>
      </w:tr>
      <w:tr>
        <w:tc>
          <w:tcPr>
            <w:tcW w:w="6521" w:type="dxa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Bullet"/>
            </w:pPr>
            <w:r>
              <w:rPr>
                <w:rFonts w:ascii="Arial" w:hAnsi="Arial"/>
                <w:lang w:val="ru"/>
              </w:rPr>
              <w:t>Высокая доступность оборудования благодаря наличию резервного</w:t>
            </w:r>
            <w:r>
              <w:rPr>
                <w:rFonts w:ascii="Arial" w:hAnsi="Arial"/>
              </w:rPr>
              <w:t> </w:t>
            </w:r>
            <w:r>
              <w:rPr>
                <w:rFonts w:ascii="Arial" w:hAnsi="Arial"/>
                <w:lang w:val="ru"/>
              </w:rPr>
              <w:t>источника питания, резервные сетевые структуры, предотвращение петель коммутации, простая замена устройств благодаря съемному модулю памяти C-PLUG</w:t>
            </w:r>
          </w:p>
        </w:tc>
        <w:tc>
          <w:tcPr>
            <w:tcW w:w="3343" w:type="dxa"/>
          </w:tcPr>
          <w:p>
            <w:pPr>
              <w:tabs>
                <w:tab w:val="left" w:pos="850"/>
              </w:tabs>
              <w:rPr>
                <w:noProof/>
              </w:rPr>
            </w:pPr>
          </w:p>
        </w:tc>
      </w:tr>
    </w:tbl>
    <w:p>
      <w:pPr>
        <w:tabs>
          <w:tab w:val="left" w:pos="6521"/>
        </w:tabs>
        <w:rPr>
          <w:rFonts w:ascii="Arial" w:hAnsi="Arial"/>
          <w:noProof/>
          <w:sz w:val="13"/>
          <w:lang w:eastAsia="zh-CN"/>
        </w:rPr>
      </w:pPr>
      <w:r>
        <w:rPr>
          <w:noProof/>
          <w:sz w:val="13"/>
          <w:lang w:val="de-DE" w:eastAsia="de-D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4549775</wp:posOffset>
            </wp:positionH>
            <wp:positionV relativeFrom="paragraph">
              <wp:posOffset>1905</wp:posOffset>
            </wp:positionV>
            <wp:extent cx="1629410" cy="1331595"/>
            <wp:effectExtent l="0" t="0" r="8890" b="190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3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2218055</wp:posOffset>
                </wp:positionV>
                <wp:extent cx="4142105" cy="1684655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2105" cy="1684655"/>
                        </a:xfrm>
                        <a:prstGeom prst="rect">
                          <a:avLst/>
                        </a:prstGeom>
                        <a:gradFill>
                          <a:gsLst>
                            <a:gs pos="50000">
                              <a:srgbClr val="009AA3">
                                <a:alpha val="85000"/>
                              </a:srgbClr>
                            </a:gs>
                            <a:gs pos="0">
                              <a:srgbClr val="4DBDC4">
                                <a:alpha val="85000"/>
                              </a:srgbClr>
                            </a:gs>
                            <a:gs pos="100000">
                              <a:srgbClr val="0099D8">
                                <a:alpha val="85000"/>
                              </a:srgbClr>
                            </a:gs>
                          </a:gsLst>
                          <a:lin ang="0" scaled="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TitleHeadline"/>
                              <w:rPr>
                                <w:rFonts w:ascii="Arial" w:hAnsi="Arial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/>
                                <w:sz w:val="44"/>
                                <w:szCs w:val="44"/>
                                <w:lang w:val="ru"/>
                              </w:rPr>
                              <w:t>SCALANCE XP-200</w:t>
                            </w:r>
                            <w:r>
                              <w:rPr>
                                <w:rFonts w:ascii="Arial" w:hAnsi="Arial"/>
                                <w:sz w:val="44"/>
                                <w:szCs w:val="44"/>
                                <w:lang w:val="ru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26"/>
                                <w:szCs w:val="26"/>
                                <w:lang w:val="ru"/>
                              </w:rPr>
                              <w:t xml:space="preserve">Управляемые коммутаторы Industrial Ethernet </w:t>
                            </w:r>
                          </w:p>
                          <w:p>
                            <w:pPr>
                              <w:pStyle w:val="TitleHeadline"/>
                              <w:rPr>
                                <w:rFonts w:ascii="Arial" w:hAnsi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/>
                                <w:sz w:val="26"/>
                                <w:szCs w:val="26"/>
                                <w:lang w:val="ru"/>
                              </w:rPr>
                              <w:t>Эксплуатация в суровых условиях без использования шкафа управления</w:t>
                            </w:r>
                          </w:p>
                          <w:p>
                            <w:pPr>
                              <w:pStyle w:val="FPSubtitle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lang w:val="ru"/>
                              </w:rPr>
                              <w:t>Основная информация</w:t>
                            </w:r>
                          </w:p>
                        </w:txbxContent>
                      </wps:txbx>
                      <wps:bodyPr rot="0" vert="horz" wrap="square" lIns="216000" tIns="108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174.65pt;width:326.15pt;height:132.6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" fillcolor="#4dbdc4" stroked="f">
                <v:fill opacity="55705f" color2="#0099d8" o:opacity2="55705f" angle="90" colors="0 #4dbdc4;.5 #009aa3;1 #0099d8" focus="100%" type="gradient">
                  <o:fill v:ext="view" type="gradientUnscaled"/>
                </v:fill>
                <v:textbox inset="6mm,3mm">
                  <w:txbxContent>
                    <w:p w:rsidR="00D3398D" w:rsidRPr="00E1287A" w:rsidRDefault="00785D19">
                      <w:pPr>
                        <w:pStyle w:val="TitleHeadline"/>
                        <w:rPr>
                          <w:rFonts w:ascii="Arial" w:hAnsi="Arial" w:hint="eastAsia"/>
                          <w:sz w:val="26"/>
                          <w:szCs w:val="26"/>
                          <w:lang w:eastAsia="zh-CN"/>
                        </w:rPr>
                      </w:pPr>
                      <w:r w:rsidRPr="00E1287A">
                        <w:rPr>
                          <w:rFonts w:ascii="Arial" w:hAnsi="Arial"/>
                          <w:sz w:val="44"/>
                          <w:szCs w:val="44"/>
                          <w:lang w:val="ru"/>
                        </w:rPr>
                        <w:t>SCALANCE XP-200</w:t>
                      </w:r>
                      <w:r w:rsidRPr="00E1287A">
                        <w:rPr>
                          <w:rFonts w:ascii="Arial" w:hAnsi="Arial"/>
                          <w:sz w:val="44"/>
                          <w:szCs w:val="44"/>
                          <w:lang w:val="ru"/>
                        </w:rPr>
                        <w:br/>
                      </w:r>
                      <w:r w:rsidRPr="00E1287A">
                        <w:rPr>
                          <w:rFonts w:ascii="Arial" w:hAnsi="Arial"/>
                          <w:sz w:val="26"/>
                          <w:szCs w:val="26"/>
                          <w:lang w:val="ru"/>
                        </w:rPr>
                        <w:t>Управляемые коммутаторы I</w:t>
                      </w:r>
                      <w:r w:rsidR="00E1287A">
                        <w:rPr>
                          <w:rFonts w:ascii="Arial" w:hAnsi="Arial"/>
                          <w:sz w:val="26"/>
                          <w:szCs w:val="26"/>
                          <w:lang w:val="ru"/>
                        </w:rPr>
                        <w:t xml:space="preserve">ndustrial Ethernet </w:t>
                      </w:r>
                    </w:p>
                    <w:p w:rsidR="00D3398D" w:rsidRPr="00E1287A" w:rsidRDefault="00785D19">
                      <w:pPr>
                        <w:pStyle w:val="TitleHeadline"/>
                        <w:rPr>
                          <w:rFonts w:ascii="Arial" w:hAnsi="Arial"/>
                          <w:sz w:val="26"/>
                          <w:szCs w:val="26"/>
                        </w:rPr>
                      </w:pPr>
                      <w:r w:rsidRPr="00E1287A">
                        <w:rPr>
                          <w:rFonts w:ascii="Arial" w:hAnsi="Arial"/>
                          <w:sz w:val="26"/>
                          <w:szCs w:val="26"/>
                          <w:lang w:val="ru"/>
                        </w:rPr>
                        <w:t>Эксплуатация в суровых условиях без использования шкафа управления</w:t>
                      </w:r>
                    </w:p>
                    <w:p w:rsidR="00D3398D" w:rsidRPr="00E1287A" w:rsidRDefault="00785D19">
                      <w:pPr>
                        <w:pStyle w:val="FPSubtitle"/>
                        <w:rPr>
                          <w:rFonts w:ascii="Arial" w:hAnsi="Arial"/>
                        </w:rPr>
                      </w:pPr>
                      <w:r w:rsidRPr="00E1287A">
                        <w:rPr>
                          <w:rFonts w:ascii="Arial" w:hAnsi="Arial"/>
                          <w:bCs/>
                          <w:lang w:val="ru"/>
                        </w:rPr>
                        <w:t>Основная информация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tbl>
      <w:tblPr>
        <w:tblStyle w:val="Tabellenraster"/>
        <w:tblW w:w="9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8"/>
        <w:gridCol w:w="147"/>
        <w:gridCol w:w="2020"/>
        <w:gridCol w:w="411"/>
        <w:gridCol w:w="1237"/>
        <w:gridCol w:w="18"/>
        <w:gridCol w:w="283"/>
        <w:gridCol w:w="3060"/>
      </w:tblGrid>
      <w:tr>
        <w:tc>
          <w:tcPr>
            <w:tcW w:w="6521" w:type="dxa"/>
            <w:gridSpan w:val="6"/>
            <w:shd w:val="clear" w:color="auto" w:fill="BECCD5"/>
          </w:tcPr>
          <w:p>
            <w:pPr>
              <w:pStyle w:val="TableContentwhite"/>
            </w:pPr>
            <w:r>
              <w:rPr>
                <w:rFonts w:ascii="Arial" w:hAnsi="Arial"/>
                <w:bCs/>
                <w:lang w:val="ru"/>
              </w:rPr>
              <w:t>Основные особенности</w:t>
            </w:r>
          </w:p>
        </w:tc>
        <w:tc>
          <w:tcPr>
            <w:tcW w:w="3343" w:type="dxa"/>
            <w:gridSpan w:val="2"/>
            <w:vMerge w:val="restart"/>
            <w:shd w:val="clear" w:color="auto" w:fill="auto"/>
          </w:tcPr>
          <w:p>
            <w:pPr>
              <w:pStyle w:val="Infotext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  <w:lang w:val="ru"/>
              </w:rPr>
              <w:t xml:space="preserve"> </w:t>
            </w:r>
          </w:p>
          <w:p>
            <w:pPr>
              <w:pStyle w:val="Infotext"/>
              <w:rPr>
                <w:rFonts w:ascii="Arial" w:hAnsi="Arial"/>
                <w:noProof/>
              </w:rPr>
            </w:pPr>
          </w:p>
          <w:p>
            <w:pPr>
              <w:pStyle w:val="Infotext"/>
              <w:rPr>
                <w:rFonts w:ascii="Arial" w:hAnsi="Arial"/>
                <w:noProof/>
              </w:rPr>
            </w:pPr>
          </w:p>
          <w:p>
            <w:pPr>
              <w:pStyle w:val="Infotext"/>
              <w:rPr>
                <w:rFonts w:ascii="Arial" w:hAnsi="Arial"/>
              </w:rPr>
            </w:pPr>
          </w:p>
          <w:p>
            <w:pPr>
              <w:pStyle w:val="Infotext"/>
              <w:rPr>
                <w:rFonts w:ascii="Arial" w:hAnsi="Arial"/>
              </w:rPr>
            </w:pPr>
          </w:p>
          <w:p>
            <w:pPr>
              <w:pStyle w:val="Infotext"/>
              <w:rPr>
                <w:rFonts w:ascii="Arial" w:hAnsi="Arial"/>
              </w:rPr>
            </w:pPr>
          </w:p>
          <w:p>
            <w:pPr>
              <w:pStyle w:val="Infotext"/>
              <w:rPr>
                <w:rFonts w:ascii="Arial" w:hAnsi="Arial"/>
              </w:rPr>
            </w:pPr>
          </w:p>
          <w:p>
            <w:pPr>
              <w:pStyle w:val="Infotext"/>
              <w:rPr>
                <w:rFonts w:ascii="Arial" w:hAnsi="Arial"/>
                <w:lang w:eastAsia="zh-CN"/>
              </w:rPr>
            </w:pPr>
          </w:p>
          <w:p>
            <w:pPr>
              <w:pStyle w:val="Infotext"/>
              <w:rPr>
                <w:rFonts w:ascii="Arial" w:hAnsi="Arial"/>
                <w:lang w:eastAsia="zh-CN"/>
              </w:rPr>
            </w:pPr>
          </w:p>
          <w:p>
            <w:pPr>
              <w:pStyle w:val="Infotext"/>
              <w:tabs>
                <w:tab w:val="left" w:pos="992"/>
              </w:tabs>
            </w:pPr>
            <w:r>
              <w:rPr>
                <w:rFonts w:ascii="Arial" w:hAnsi="Arial"/>
                <w:lang w:val="ru"/>
              </w:rPr>
              <w:t xml:space="preserve"> </w:t>
            </w:r>
            <w:r>
              <w:rPr>
                <w:rFonts w:ascii="Arial" w:hAnsi="Arial"/>
                <w:lang w:val="ru"/>
              </w:rPr>
              <w:tab/>
              <w:t>SCALANCE XP216PoE EEC</w:t>
            </w:r>
          </w:p>
        </w:tc>
      </w:tr>
      <w:tr>
        <w:tc>
          <w:tcPr>
            <w:tcW w:w="6521" w:type="dxa"/>
            <w:gridSpan w:val="6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Bullet"/>
            </w:pPr>
            <w:r>
              <w:rPr>
                <w:rFonts w:ascii="Arial" w:hAnsi="Arial"/>
                <w:lang w:val="ru"/>
              </w:rPr>
              <w:t>Эксплуатация во взрывоопасных зонах (ATEX Zone 2, IECEx)</w:t>
            </w:r>
          </w:p>
        </w:tc>
        <w:tc>
          <w:tcPr>
            <w:tcW w:w="3343" w:type="dxa"/>
            <w:gridSpan w:val="2"/>
            <w:vMerge/>
            <w:shd w:val="clear" w:color="auto" w:fill="auto"/>
          </w:tcPr>
          <w:p>
            <w:pPr>
              <w:rPr>
                <w:noProof/>
              </w:rPr>
            </w:pPr>
          </w:p>
        </w:tc>
      </w:tr>
      <w:tr>
        <w:tc>
          <w:tcPr>
            <w:tcW w:w="6521" w:type="dxa"/>
            <w:gridSpan w:val="6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Bullet"/>
            </w:pPr>
            <w:r>
              <w:rPr>
                <w:rFonts w:ascii="Arial" w:hAnsi="Arial"/>
                <w:lang w:val="ru"/>
              </w:rPr>
              <w:t>Возможность передачи Гбит и электропитание конечных устройств PoE</w:t>
            </w:r>
          </w:p>
        </w:tc>
        <w:tc>
          <w:tcPr>
            <w:tcW w:w="3343" w:type="dxa"/>
            <w:gridSpan w:val="2"/>
            <w:vMerge/>
            <w:shd w:val="clear" w:color="auto" w:fill="auto"/>
          </w:tcPr>
          <w:p>
            <w:pPr>
              <w:rPr>
                <w:noProof/>
              </w:rPr>
            </w:pPr>
          </w:p>
        </w:tc>
      </w:tr>
      <w:tr>
        <w:tc>
          <w:tcPr>
            <w:tcW w:w="6521" w:type="dxa"/>
            <w:gridSpan w:val="6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Bullet"/>
            </w:pPr>
            <w:r>
              <w:rPr>
                <w:rFonts w:ascii="Arial" w:hAnsi="Arial"/>
                <w:lang w:val="ru"/>
              </w:rPr>
              <w:t>Эксплуатационная надежность в промышленной среде благодаря прочному металлическому корпусу со степенью защиты IP65 и</w:t>
            </w:r>
            <w:r>
              <w:rPr>
                <w:rFonts w:ascii="Arial" w:hAnsi="Arial"/>
              </w:rPr>
              <w:t> </w:t>
            </w:r>
            <w:r>
              <w:rPr>
                <w:rFonts w:ascii="Arial" w:hAnsi="Arial"/>
                <w:lang w:val="ru"/>
              </w:rPr>
              <w:t>диапазону температур от -40 °C до +70 °C</w:t>
            </w:r>
          </w:p>
        </w:tc>
        <w:tc>
          <w:tcPr>
            <w:tcW w:w="3343" w:type="dxa"/>
            <w:gridSpan w:val="2"/>
            <w:vMerge/>
            <w:shd w:val="clear" w:color="auto" w:fill="auto"/>
          </w:tcPr>
          <w:p>
            <w:pPr>
              <w:rPr>
                <w:noProof/>
              </w:rPr>
            </w:pPr>
          </w:p>
        </w:tc>
      </w:tr>
      <w:tr>
        <w:trPr>
          <w:trHeight w:val="132"/>
        </w:trPr>
        <w:tc>
          <w:tcPr>
            <w:tcW w:w="6521" w:type="dxa"/>
            <w:gridSpan w:val="6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Bullet"/>
            </w:pPr>
            <w:r>
              <w:rPr>
                <w:rFonts w:ascii="Arial" w:hAnsi="Arial"/>
                <w:lang w:val="ru"/>
              </w:rPr>
              <w:t>Поддержка коммуникации в реальном времени на выбор посредством PROFINET или EtherNet/IP</w:t>
            </w:r>
          </w:p>
        </w:tc>
        <w:tc>
          <w:tcPr>
            <w:tcW w:w="3343" w:type="dxa"/>
            <w:gridSpan w:val="2"/>
            <w:vMerge/>
            <w:shd w:val="clear" w:color="auto" w:fill="auto"/>
          </w:tcPr>
          <w:p>
            <w:pPr>
              <w:rPr>
                <w:noProof/>
              </w:rPr>
            </w:pPr>
          </w:p>
        </w:tc>
      </w:tr>
      <w:tr>
        <w:tc>
          <w:tcPr>
            <w:tcW w:w="9864" w:type="dxa"/>
            <w:gridSpan w:val="8"/>
            <w:shd w:val="clear" w:color="auto" w:fill="BECCD5"/>
          </w:tcPr>
          <w:p>
            <w:pPr>
              <w:pStyle w:val="TableContentwhite"/>
            </w:pPr>
            <w:r>
              <w:rPr>
                <w:rFonts w:ascii="Arial" w:hAnsi="Arial"/>
                <w:bCs/>
                <w:lang w:val="ru"/>
              </w:rPr>
              <w:lastRenderedPageBreak/>
              <w:t xml:space="preserve">Примеры использования </w:t>
            </w:r>
          </w:p>
        </w:tc>
      </w:tr>
      <w:tr>
        <w:trPr>
          <w:trHeight w:val="2925"/>
        </w:trPr>
        <w:tc>
          <w:tcPr>
            <w:tcW w:w="9864" w:type="dxa"/>
            <w:gridSpan w:val="8"/>
            <w:shd w:val="clear" w:color="auto" w:fill="auto"/>
          </w:tcPr>
          <w:p>
            <w:pPr>
              <w:tabs>
                <w:tab w:val="left" w:pos="6096"/>
              </w:tabs>
              <w:ind w:left="142"/>
              <w:rPr>
                <w:rFonts w:ascii="Arial" w:hAnsi="Arial"/>
                <w:noProof/>
                <w:lang w:val="ru" w:eastAsia="zh-CN"/>
              </w:rPr>
            </w:pPr>
            <w:r>
              <w:rPr>
                <w:rFonts w:ascii="Arial" w:hAnsi="Arial"/>
                <w:noProof/>
                <w:sz w:val="17"/>
                <w:szCs w:val="17"/>
                <w:lang w:val="ru"/>
              </w:rPr>
              <w:t xml:space="preserve"> </w:t>
            </w:r>
            <w:r>
              <w:rPr>
                <w:noProof/>
                <w:sz w:val="17"/>
                <w:szCs w:val="17"/>
                <w:lang w:val="de-DE" w:eastAsia="de-DE"/>
              </w:rPr>
              <w:drawing>
                <wp:inline distT="0" distB="0" distL="0" distR="0">
                  <wp:extent cx="3564335" cy="1872000"/>
                  <wp:effectExtent l="0" t="0" r="0" b="0"/>
                  <wp:docPr id="3" name="Grafik 3" descr="https://mall.industry.siemens.com/collaterals/files/49/JPG/G_IK10_DE_10078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ll.industry.siemens.com/collaterals/files/49/JPG/G_IK10_DE_10078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335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sz w:val="17"/>
                <w:szCs w:val="17"/>
                <w:lang w:val="ru"/>
              </w:rPr>
              <w:tab/>
            </w: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2319546" cy="1800000"/>
                  <wp:effectExtent l="0" t="0" r="508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r="4330"/>
                          <a:stretch/>
                        </pic:blipFill>
                        <pic:spPr bwMode="auto">
                          <a:xfrm>
                            <a:off x="0" y="0"/>
                            <a:ext cx="2319546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lang w:val="ru"/>
              </w:rPr>
              <w:br/>
              <w:t>SCALANCE XP208 и SCALANCE XP216 для автоматизации</w:t>
            </w:r>
            <w:r>
              <w:rPr>
                <w:rFonts w:ascii="Arial" w:hAnsi="Arial"/>
                <w:noProof/>
                <w:lang w:val="ru"/>
              </w:rPr>
              <w:tab/>
              <w:t>SCALANCE XP208 с C-PLUG</w:t>
            </w:r>
            <w:r>
              <w:rPr>
                <w:rFonts w:ascii="Arial" w:hAnsi="Arial"/>
                <w:noProof/>
                <w:lang w:val="ru"/>
              </w:rPr>
              <w:br/>
              <w:t>производственных процессов</w:t>
            </w:r>
          </w:p>
          <w:p>
            <w:pPr>
              <w:tabs>
                <w:tab w:val="left" w:pos="6096"/>
              </w:tabs>
              <w:spacing w:before="0"/>
              <w:ind w:left="142"/>
              <w:rPr>
                <w:rFonts w:ascii="Arial" w:hAnsi="Arial" w:cs="Arial"/>
                <w:noProof/>
                <w:sz w:val="13"/>
                <w:lang w:eastAsia="zh-CN"/>
              </w:rPr>
            </w:pPr>
          </w:p>
        </w:tc>
      </w:tr>
      <w:tr>
        <w:tc>
          <w:tcPr>
            <w:tcW w:w="9864" w:type="dxa"/>
            <w:gridSpan w:val="8"/>
            <w:shd w:val="clear" w:color="auto" w:fill="BECCD5"/>
          </w:tcPr>
          <w:p>
            <w:pPr>
              <w:pStyle w:val="TableContentwhite"/>
            </w:pPr>
            <w:r>
              <w:rPr>
                <w:rFonts w:ascii="Arial" w:hAnsi="Arial"/>
                <w:bCs/>
                <w:lang w:val="ru"/>
              </w:rPr>
              <w:t>Ассортимент продукции в деталях</w:t>
            </w:r>
          </w:p>
        </w:tc>
      </w:tr>
      <w:tr>
        <w:tc>
          <w:tcPr>
            <w:tcW w:w="2835" w:type="dxa"/>
            <w:gridSpan w:val="2"/>
            <w:shd w:val="clear" w:color="auto" w:fill="D5DEE4"/>
          </w:tcPr>
          <w:p>
            <w:pPr>
              <w:pStyle w:val="TableContentgrey"/>
            </w:pPr>
            <w:r>
              <w:rPr>
                <w:rFonts w:ascii="Arial" w:hAnsi="Arial"/>
                <w:bCs/>
                <w:lang w:val="ru"/>
              </w:rPr>
              <w:t>Изделие</w:t>
            </w:r>
          </w:p>
        </w:tc>
        <w:tc>
          <w:tcPr>
            <w:tcW w:w="3969" w:type="dxa"/>
            <w:gridSpan w:val="5"/>
            <w:shd w:val="clear" w:color="auto" w:fill="D5DEE4"/>
          </w:tcPr>
          <w:p>
            <w:pPr>
              <w:pStyle w:val="TableContentwhite"/>
              <w:rPr>
                <w:color w:val="8CA3AF"/>
              </w:rPr>
            </w:pPr>
            <w:r>
              <w:rPr>
                <w:rFonts w:ascii="Arial" w:hAnsi="Arial"/>
                <w:bCs/>
                <w:color w:val="8CA3AF"/>
                <w:lang w:val="ru"/>
              </w:rPr>
              <w:t>Описание</w:t>
            </w:r>
          </w:p>
        </w:tc>
        <w:tc>
          <w:tcPr>
            <w:tcW w:w="3060" w:type="dxa"/>
            <w:shd w:val="clear" w:color="auto" w:fill="D5DEE4"/>
          </w:tcPr>
          <w:p>
            <w:pPr>
              <w:pStyle w:val="TableContentgrey"/>
            </w:pPr>
            <w:r>
              <w:rPr>
                <w:rFonts w:ascii="Arial" w:hAnsi="Arial"/>
                <w:bCs/>
                <w:lang w:val="ru"/>
              </w:rPr>
              <w:t>Заказной номер</w:t>
            </w:r>
          </w:p>
        </w:tc>
      </w:tr>
      <w:tr>
        <w:tc>
          <w:tcPr>
            <w:tcW w:w="2835" w:type="dxa"/>
            <w:gridSpan w:val="2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Bullet"/>
              <w:numPr>
                <w:ilvl w:val="0"/>
                <w:numId w:val="0"/>
              </w:numPr>
              <w:ind w:left="70"/>
            </w:pPr>
            <w:r>
              <w:rPr>
                <w:rFonts w:ascii="Arial" w:hAnsi="Arial"/>
                <w:lang w:val="ru"/>
              </w:rPr>
              <w:t>SCALANCE XP208</w:t>
            </w:r>
          </w:p>
        </w:tc>
        <w:tc>
          <w:tcPr>
            <w:tcW w:w="3969" w:type="dxa"/>
            <w:gridSpan w:val="5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"/>
              <w:rPr>
                <w:noProof/>
              </w:rPr>
            </w:pPr>
            <w:r>
              <w:rPr>
                <w:rFonts w:ascii="Arial" w:hAnsi="Arial"/>
                <w:noProof/>
                <w:lang w:val="ru"/>
              </w:rPr>
              <w:t>8 портов M12, 10/100 Мбит/с</w:t>
            </w:r>
          </w:p>
        </w:tc>
        <w:tc>
          <w:tcPr>
            <w:tcW w:w="3060" w:type="dxa"/>
            <w:tcBorders>
              <w:top w:val="single" w:sz="4" w:space="0" w:color="BECCD5"/>
              <w:bottom w:val="single" w:sz="4" w:space="0" w:color="BECCD5"/>
            </w:tcBorders>
            <w:shd w:val="clear" w:color="auto" w:fill="auto"/>
          </w:tcPr>
          <w:p>
            <w:pPr>
              <w:pStyle w:val="TableContent"/>
              <w:rPr>
                <w:noProof/>
              </w:rPr>
            </w:pPr>
            <w:r>
              <w:rPr>
                <w:rFonts w:ascii="Arial" w:hAnsi="Arial"/>
                <w:noProof/>
                <w:lang w:val="ru"/>
              </w:rPr>
              <w:t>6GK5208-0HA00-2AS6</w:t>
            </w:r>
          </w:p>
        </w:tc>
      </w:tr>
      <w:tr>
        <w:tc>
          <w:tcPr>
            <w:tcW w:w="2835" w:type="dxa"/>
            <w:gridSpan w:val="2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Bullet"/>
              <w:numPr>
                <w:ilvl w:val="0"/>
                <w:numId w:val="0"/>
              </w:numPr>
              <w:ind w:left="70"/>
            </w:pPr>
            <w:r>
              <w:rPr>
                <w:rFonts w:ascii="Arial" w:hAnsi="Arial"/>
                <w:lang w:val="ru"/>
              </w:rPr>
              <w:t>SCALANCE XP216</w:t>
            </w:r>
          </w:p>
        </w:tc>
        <w:tc>
          <w:tcPr>
            <w:tcW w:w="3969" w:type="dxa"/>
            <w:gridSpan w:val="5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"/>
              <w:rPr>
                <w:noProof/>
              </w:rPr>
            </w:pPr>
            <w:r>
              <w:rPr>
                <w:rFonts w:ascii="Arial" w:hAnsi="Arial"/>
                <w:noProof/>
                <w:lang w:val="ru"/>
              </w:rPr>
              <w:t>12 портов M12, 10/100 Мбит/с</w:t>
            </w:r>
            <w:r>
              <w:rPr>
                <w:rFonts w:ascii="Arial" w:hAnsi="Arial"/>
                <w:noProof/>
                <w:lang w:val="ru"/>
              </w:rPr>
              <w:br/>
              <w:t>4 порта M12, 10/100/1000 Мбит/с</w:t>
            </w:r>
          </w:p>
        </w:tc>
        <w:tc>
          <w:tcPr>
            <w:tcW w:w="3060" w:type="dxa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"/>
              <w:rPr>
                <w:noProof/>
              </w:rPr>
            </w:pPr>
            <w:r>
              <w:rPr>
                <w:rFonts w:ascii="Arial" w:hAnsi="Arial"/>
                <w:noProof/>
                <w:lang w:val="ru"/>
              </w:rPr>
              <w:t>6GK5216-0HA00-2AS6</w:t>
            </w:r>
          </w:p>
        </w:tc>
      </w:tr>
      <w:tr>
        <w:tc>
          <w:tcPr>
            <w:tcW w:w="9864" w:type="dxa"/>
            <w:gridSpan w:val="8"/>
            <w:shd w:val="clear" w:color="auto" w:fill="BECCD5"/>
          </w:tcPr>
          <w:p>
            <w:pPr>
              <w:pStyle w:val="TableContentwhite"/>
            </w:pPr>
            <w:r>
              <w:rPr>
                <w:rFonts w:ascii="Arial" w:hAnsi="Arial"/>
                <w:bCs/>
                <w:lang w:val="ru"/>
              </w:rPr>
              <w:t>Устройства EEC имеют сертификаты для использования в железнодорожных перевозках (EN 50155, EN 45545)</w:t>
            </w:r>
          </w:p>
        </w:tc>
      </w:tr>
      <w:tr>
        <w:tc>
          <w:tcPr>
            <w:tcW w:w="2835" w:type="dxa"/>
            <w:gridSpan w:val="2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Bullet"/>
              <w:numPr>
                <w:ilvl w:val="0"/>
                <w:numId w:val="0"/>
              </w:numPr>
              <w:ind w:left="70"/>
            </w:pPr>
            <w:r>
              <w:rPr>
                <w:rFonts w:ascii="Arial" w:hAnsi="Arial"/>
                <w:lang w:val="ru"/>
              </w:rPr>
              <w:t>SCALANCE XP208EEC</w:t>
            </w:r>
          </w:p>
        </w:tc>
        <w:tc>
          <w:tcPr>
            <w:tcW w:w="3969" w:type="dxa"/>
            <w:gridSpan w:val="5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"/>
              <w:rPr>
                <w:noProof/>
              </w:rPr>
            </w:pPr>
            <w:r>
              <w:rPr>
                <w:rFonts w:ascii="Arial" w:hAnsi="Arial"/>
                <w:noProof/>
                <w:lang w:val="ru"/>
              </w:rPr>
              <w:t>8 портов M12, 10/100 Мбит/с</w:t>
            </w:r>
          </w:p>
        </w:tc>
        <w:tc>
          <w:tcPr>
            <w:tcW w:w="3060" w:type="dxa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"/>
              <w:rPr>
                <w:noProof/>
              </w:rPr>
            </w:pPr>
            <w:r>
              <w:rPr>
                <w:rFonts w:ascii="Arial" w:hAnsi="Arial"/>
                <w:noProof/>
                <w:lang w:val="ru"/>
              </w:rPr>
              <w:t>6GK5208-0HA00-2ES6</w:t>
            </w:r>
          </w:p>
        </w:tc>
      </w:tr>
      <w:tr>
        <w:tc>
          <w:tcPr>
            <w:tcW w:w="2835" w:type="dxa"/>
            <w:gridSpan w:val="2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Bullet"/>
              <w:numPr>
                <w:ilvl w:val="0"/>
                <w:numId w:val="0"/>
              </w:numPr>
              <w:ind w:left="70"/>
            </w:pPr>
            <w:r>
              <w:rPr>
                <w:rFonts w:ascii="Arial" w:hAnsi="Arial"/>
                <w:lang w:val="ru"/>
              </w:rPr>
              <w:t>SCALANCE XP208PoE EEC</w:t>
            </w:r>
          </w:p>
        </w:tc>
        <w:tc>
          <w:tcPr>
            <w:tcW w:w="3969" w:type="dxa"/>
            <w:gridSpan w:val="5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"/>
              <w:rPr>
                <w:noProof/>
              </w:rPr>
            </w:pPr>
            <w:r>
              <w:rPr>
                <w:rFonts w:ascii="Arial" w:hAnsi="Arial"/>
                <w:noProof/>
                <w:lang w:val="ru"/>
              </w:rPr>
              <w:t xml:space="preserve">4 порта M12, 10/100 Мбит/с </w:t>
            </w:r>
            <w:r>
              <w:rPr>
                <w:rFonts w:ascii="Arial" w:hAnsi="Arial"/>
                <w:noProof/>
                <w:lang w:val="ru"/>
              </w:rPr>
              <w:br/>
              <w:t>4 порта PoE M12, 10/100 Мбит/с</w:t>
            </w:r>
          </w:p>
        </w:tc>
        <w:tc>
          <w:tcPr>
            <w:tcW w:w="3060" w:type="dxa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"/>
              <w:rPr>
                <w:noProof/>
              </w:rPr>
            </w:pPr>
            <w:r>
              <w:rPr>
                <w:rFonts w:ascii="Arial" w:hAnsi="Arial"/>
                <w:noProof/>
                <w:lang w:val="ru"/>
              </w:rPr>
              <w:t>6GK5208-0UA00-5ES6</w:t>
            </w:r>
          </w:p>
        </w:tc>
      </w:tr>
      <w:tr>
        <w:tc>
          <w:tcPr>
            <w:tcW w:w="2835" w:type="dxa"/>
            <w:gridSpan w:val="2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Bullet"/>
              <w:numPr>
                <w:ilvl w:val="0"/>
                <w:numId w:val="0"/>
              </w:numPr>
              <w:ind w:left="70"/>
            </w:pPr>
            <w:r>
              <w:rPr>
                <w:rFonts w:ascii="Arial" w:hAnsi="Arial"/>
                <w:lang w:val="ru"/>
              </w:rPr>
              <w:t>SCALANCE XP216EEC</w:t>
            </w:r>
          </w:p>
        </w:tc>
        <w:tc>
          <w:tcPr>
            <w:tcW w:w="3969" w:type="dxa"/>
            <w:gridSpan w:val="5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"/>
              <w:rPr>
                <w:noProof/>
              </w:rPr>
            </w:pPr>
            <w:r>
              <w:rPr>
                <w:rFonts w:ascii="Arial" w:hAnsi="Arial"/>
                <w:noProof/>
                <w:lang w:val="ru"/>
              </w:rPr>
              <w:t>12 портов M12, 10/100 Мбит/с</w:t>
            </w:r>
            <w:r>
              <w:rPr>
                <w:rFonts w:ascii="Arial" w:hAnsi="Arial"/>
                <w:noProof/>
                <w:lang w:val="ru"/>
              </w:rPr>
              <w:br/>
              <w:t>4 порта M12, 10/100/1000 Мбит/с</w:t>
            </w:r>
          </w:p>
        </w:tc>
        <w:tc>
          <w:tcPr>
            <w:tcW w:w="3060" w:type="dxa"/>
            <w:tcBorders>
              <w:top w:val="single" w:sz="4" w:space="0" w:color="BECCD5"/>
              <w:bottom w:val="single" w:sz="4" w:space="0" w:color="BECCD5"/>
            </w:tcBorders>
            <w:shd w:val="clear" w:color="auto" w:fill="auto"/>
          </w:tcPr>
          <w:p>
            <w:pPr>
              <w:pStyle w:val="TableContent"/>
              <w:rPr>
                <w:noProof/>
              </w:rPr>
            </w:pPr>
            <w:r>
              <w:rPr>
                <w:rFonts w:ascii="Arial" w:hAnsi="Arial"/>
                <w:noProof/>
                <w:lang w:val="ru"/>
              </w:rPr>
              <w:t>6GK5216-0HA00-2ES6</w:t>
            </w:r>
          </w:p>
        </w:tc>
      </w:tr>
      <w:tr>
        <w:tc>
          <w:tcPr>
            <w:tcW w:w="2835" w:type="dxa"/>
            <w:gridSpan w:val="2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Bullet"/>
              <w:numPr>
                <w:ilvl w:val="0"/>
                <w:numId w:val="0"/>
              </w:numPr>
              <w:ind w:left="70"/>
            </w:pPr>
            <w:r>
              <w:rPr>
                <w:rFonts w:ascii="Arial" w:hAnsi="Arial"/>
                <w:lang w:val="ru"/>
              </w:rPr>
              <w:t>SCALANCE XP216PoE EEC</w:t>
            </w:r>
          </w:p>
        </w:tc>
        <w:tc>
          <w:tcPr>
            <w:tcW w:w="3969" w:type="dxa"/>
            <w:gridSpan w:val="5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"/>
              <w:rPr>
                <w:noProof/>
              </w:rPr>
            </w:pPr>
            <w:r>
              <w:rPr>
                <w:rFonts w:ascii="Arial" w:hAnsi="Arial"/>
                <w:noProof/>
                <w:lang w:val="ru"/>
              </w:rPr>
              <w:t>10 портов M12, 10/100 Мбит/с</w:t>
            </w:r>
            <w:r>
              <w:rPr>
                <w:rFonts w:ascii="Arial" w:hAnsi="Arial"/>
                <w:noProof/>
                <w:lang w:val="ru"/>
              </w:rPr>
              <w:br/>
              <w:t>2 порта PoE M12, 10/100 Мбит/с</w:t>
            </w:r>
            <w:r>
              <w:rPr>
                <w:rFonts w:ascii="Arial" w:hAnsi="Arial"/>
                <w:noProof/>
                <w:lang w:val="ru"/>
              </w:rPr>
              <w:br/>
              <w:t xml:space="preserve">2 порта M12, 10/100/1000 Мбит/с </w:t>
            </w:r>
            <w:r>
              <w:rPr>
                <w:rFonts w:ascii="Arial" w:hAnsi="Arial"/>
                <w:noProof/>
                <w:lang w:val="ru"/>
              </w:rPr>
              <w:br/>
              <w:t>2 порта PoE M12, 10/100/1000 Мбит/с</w:t>
            </w:r>
          </w:p>
        </w:tc>
        <w:tc>
          <w:tcPr>
            <w:tcW w:w="3060" w:type="dxa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"/>
              <w:rPr>
                <w:noProof/>
              </w:rPr>
            </w:pPr>
            <w:r>
              <w:rPr>
                <w:rFonts w:ascii="Arial" w:hAnsi="Arial"/>
                <w:noProof/>
                <w:lang w:val="ru"/>
              </w:rPr>
              <w:t>6GK5216-0UA00-5ES6</w:t>
            </w:r>
          </w:p>
        </w:tc>
      </w:tr>
      <w:tr>
        <w:tc>
          <w:tcPr>
            <w:tcW w:w="9864" w:type="dxa"/>
            <w:gridSpan w:val="8"/>
            <w:shd w:val="clear" w:color="auto" w:fill="BECCD5"/>
          </w:tcPr>
          <w:p>
            <w:pPr>
              <w:pStyle w:val="TableContentwhite"/>
            </w:pPr>
            <w:r>
              <w:rPr>
                <w:rFonts w:ascii="Arial" w:hAnsi="Arial"/>
                <w:bCs/>
                <w:lang w:val="ru"/>
              </w:rPr>
              <w:t>Аксессуары</w:t>
            </w:r>
          </w:p>
        </w:tc>
      </w:tr>
      <w:tr>
        <w:tc>
          <w:tcPr>
            <w:tcW w:w="2835" w:type="dxa"/>
            <w:gridSpan w:val="2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Bullet"/>
              <w:numPr>
                <w:ilvl w:val="0"/>
                <w:numId w:val="0"/>
              </w:numPr>
              <w:ind w:left="70"/>
            </w:pPr>
            <w:r>
              <w:rPr>
                <w:rFonts w:ascii="Arial" w:hAnsi="Arial"/>
                <w:lang w:val="ru"/>
              </w:rPr>
              <w:t>SITOP PSU100P</w:t>
            </w:r>
          </w:p>
        </w:tc>
        <w:tc>
          <w:tcPr>
            <w:tcW w:w="3969" w:type="dxa"/>
            <w:gridSpan w:val="5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"/>
              <w:rPr>
                <w:noProof/>
              </w:rPr>
            </w:pPr>
            <w:r>
              <w:rPr>
                <w:rFonts w:ascii="Arial" w:hAnsi="Arial"/>
                <w:noProof/>
                <w:lang w:val="ru"/>
              </w:rPr>
              <w:t>Регулируемый источник питания IP67</w:t>
            </w:r>
            <w:r>
              <w:rPr>
                <w:rFonts w:ascii="Arial" w:hAnsi="Arial"/>
                <w:noProof/>
                <w:lang w:val="ru"/>
              </w:rPr>
              <w:br/>
              <w:t>Вход: 120/230 В переменного тока; выход: 24</w:t>
            </w:r>
            <w:r>
              <w:rPr>
                <w:rFonts w:ascii="Arial" w:hAnsi="Arial"/>
                <w:noProof/>
                <w:lang w:val="en-US"/>
              </w:rPr>
              <w:t> </w:t>
            </w:r>
            <w:r>
              <w:rPr>
                <w:rFonts w:ascii="Arial" w:hAnsi="Arial"/>
                <w:noProof/>
                <w:lang w:val="ru"/>
              </w:rPr>
              <w:t>В постоянного тока /5 A</w:t>
            </w:r>
          </w:p>
        </w:tc>
        <w:tc>
          <w:tcPr>
            <w:tcW w:w="3060" w:type="dxa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"/>
              <w:rPr>
                <w:noProof/>
              </w:rPr>
            </w:pPr>
            <w:r>
              <w:rPr>
                <w:rFonts w:ascii="Arial" w:hAnsi="Arial"/>
                <w:noProof/>
                <w:lang w:val="ru"/>
              </w:rPr>
              <w:t>6EP1333-7CA00</w:t>
            </w:r>
          </w:p>
        </w:tc>
      </w:tr>
      <w:tr>
        <w:tc>
          <w:tcPr>
            <w:tcW w:w="2835" w:type="dxa"/>
            <w:gridSpan w:val="2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Bullet"/>
              <w:numPr>
                <w:ilvl w:val="0"/>
                <w:numId w:val="0"/>
              </w:numPr>
              <w:ind w:left="70"/>
            </w:pPr>
            <w:r>
              <w:rPr>
                <w:rFonts w:ascii="Arial" w:hAnsi="Arial"/>
                <w:lang w:val="ru"/>
              </w:rPr>
              <w:t>SIMATIC DP</w:t>
            </w:r>
          </w:p>
        </w:tc>
        <w:tc>
          <w:tcPr>
            <w:tcW w:w="3969" w:type="dxa"/>
            <w:gridSpan w:val="5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"/>
              <w:rPr>
                <w:noProof/>
              </w:rPr>
            </w:pPr>
            <w:r>
              <w:rPr>
                <w:rFonts w:ascii="Arial" w:hAnsi="Arial"/>
                <w:noProof/>
                <w:lang w:val="ru"/>
              </w:rPr>
              <w:t>Держатель модуля, узкая конструкция, для модулей ввода-вывода ET 200 PRO, длина 500 мм</w:t>
            </w:r>
          </w:p>
        </w:tc>
        <w:tc>
          <w:tcPr>
            <w:tcW w:w="3060" w:type="dxa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"/>
              <w:rPr>
                <w:noProof/>
              </w:rPr>
            </w:pPr>
            <w:r>
              <w:rPr>
                <w:rFonts w:ascii="Arial" w:hAnsi="Arial"/>
                <w:noProof/>
                <w:lang w:val="ru"/>
              </w:rPr>
              <w:t>6ES7194-4GA00-0AA0</w:t>
            </w:r>
          </w:p>
        </w:tc>
      </w:tr>
      <w:tr>
        <w:tc>
          <w:tcPr>
            <w:tcW w:w="2835" w:type="dxa"/>
            <w:gridSpan w:val="2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Bullet"/>
              <w:numPr>
                <w:ilvl w:val="0"/>
                <w:numId w:val="0"/>
              </w:numPr>
              <w:ind w:left="70"/>
            </w:pPr>
            <w:r>
              <w:rPr>
                <w:rFonts w:ascii="Arial" w:hAnsi="Arial"/>
                <w:lang w:val="ru"/>
              </w:rPr>
              <w:t xml:space="preserve">IE M12 Panel Feedthrough </w:t>
            </w:r>
          </w:p>
        </w:tc>
        <w:tc>
          <w:tcPr>
            <w:tcW w:w="3969" w:type="dxa"/>
            <w:gridSpan w:val="5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"/>
              <w:rPr>
                <w:noProof/>
              </w:rPr>
            </w:pPr>
            <w:r>
              <w:rPr>
                <w:rFonts w:ascii="Arial" w:hAnsi="Arial"/>
                <w:noProof/>
                <w:lang w:val="ru"/>
              </w:rPr>
              <w:t>Ввод для шкафа управления для перехода с</w:t>
            </w:r>
            <w:r>
              <w:rPr>
                <w:rFonts w:ascii="Arial" w:hAnsi="Arial"/>
                <w:noProof/>
                <w:lang w:val="en-US"/>
              </w:rPr>
              <w:t> </w:t>
            </w:r>
            <w:r>
              <w:rPr>
                <w:rFonts w:ascii="Arial" w:hAnsi="Arial"/>
                <w:noProof/>
                <w:lang w:val="ru"/>
              </w:rPr>
              <w:t>технологии подключения M12 (кодировка D) (IP65) на технологию подключения RJ45 (IP20)</w:t>
            </w:r>
          </w:p>
        </w:tc>
        <w:tc>
          <w:tcPr>
            <w:tcW w:w="3060" w:type="dxa"/>
            <w:tcBorders>
              <w:top w:val="single" w:sz="4" w:space="0" w:color="BECCD5"/>
              <w:bottom w:val="single" w:sz="4" w:space="0" w:color="BECCD5"/>
            </w:tcBorders>
          </w:tcPr>
          <w:p>
            <w:pPr>
              <w:pStyle w:val="TableContent"/>
              <w:rPr>
                <w:noProof/>
              </w:rPr>
            </w:pPr>
            <w:r>
              <w:rPr>
                <w:rFonts w:ascii="Arial" w:hAnsi="Arial"/>
                <w:noProof/>
                <w:lang w:val="ru"/>
              </w:rPr>
              <w:t>6GK1901-0DM20-2AA5</w:t>
            </w:r>
          </w:p>
        </w:tc>
      </w:tr>
      <w:tr>
        <w:tc>
          <w:tcPr>
            <w:tcW w:w="9864" w:type="dxa"/>
            <w:gridSpan w:val="8"/>
          </w:tcPr>
          <w:p>
            <w:pPr>
              <w:pStyle w:val="TableContentBullet"/>
              <w:ind w:left="66"/>
              <w:rPr>
                <w:rFonts w:ascii="Arial" w:hAnsi="Arial"/>
              </w:rPr>
            </w:pPr>
          </w:p>
          <w:p>
            <w:pPr>
              <w:pStyle w:val="TableContentBullet"/>
              <w:ind w:left="66"/>
              <w:rPr>
                <w:rFonts w:ascii="Arial" w:hAnsi="Arial"/>
              </w:rPr>
            </w:pPr>
            <w:r>
              <w:rPr>
                <w:rFonts w:ascii="Arial" w:hAnsi="Arial"/>
                <w:lang w:val="ru"/>
              </w:rPr>
              <w:t xml:space="preserve">Подробную информацию о вариантах устройства и принадлежностях см. в обзоре для заказа </w:t>
            </w:r>
            <w:hyperlink r:id="rId14" w:history="1">
              <w:r>
                <w:rPr>
                  <w:rStyle w:val="Hyperlink"/>
                  <w:rFonts w:ascii="Arial" w:hAnsi="Arial"/>
                  <w:lang w:val="ru"/>
                </w:rPr>
                <w:t>«SCALANCE X – управляемые коммутаторы Industrial Ethernet»</w:t>
              </w:r>
            </w:hyperlink>
            <w:r>
              <w:rPr>
                <w:rFonts w:ascii="Arial" w:hAnsi="Arial"/>
                <w:lang w:val="ru"/>
              </w:rPr>
              <w:t xml:space="preserve"> и в руководстве по выбору TIA Selection Tool: </w:t>
            </w:r>
            <w:hyperlink r:id="rId15" w:history="1">
              <w:r>
                <w:rPr>
                  <w:rStyle w:val="Hyperlink"/>
                  <w:rFonts w:ascii="Arial" w:hAnsi="Arial"/>
                  <w:lang w:val="ru"/>
                </w:rPr>
                <w:t>www.siemens.com/tstcloud</w:t>
              </w:r>
            </w:hyperlink>
            <w:r>
              <w:rPr>
                <w:rFonts w:ascii="Arial" w:hAnsi="Arial"/>
                <w:lang w:val="ru"/>
              </w:rPr>
              <w:t xml:space="preserve"> </w:t>
            </w:r>
          </w:p>
          <w:p>
            <w:pPr>
              <w:pStyle w:val="TableContentBullet"/>
              <w:numPr>
                <w:ilvl w:val="0"/>
                <w:numId w:val="0"/>
              </w:numPr>
              <w:ind w:left="66"/>
              <w:rPr>
                <w:rFonts w:ascii="Arial" w:hAnsi="Arial"/>
                <w:sz w:val="16"/>
              </w:rPr>
            </w:pPr>
          </w:p>
          <w:p>
            <w:pPr>
              <w:pStyle w:val="TableContentBullet"/>
              <w:numPr>
                <w:ilvl w:val="0"/>
                <w:numId w:val="0"/>
              </w:numPr>
              <w:ind w:left="66"/>
              <w:rPr>
                <w:rFonts w:ascii="Arial" w:hAnsi="Arial"/>
                <w:sz w:val="16"/>
              </w:rPr>
            </w:pPr>
          </w:p>
          <w:p>
            <w:pPr>
              <w:pStyle w:val="TableContentBullet"/>
              <w:numPr>
                <w:ilvl w:val="0"/>
                <w:numId w:val="0"/>
              </w:numPr>
              <w:ind w:left="66"/>
              <w:rPr>
                <w:rFonts w:ascii="Arial" w:hAnsi="Arial"/>
              </w:rPr>
            </w:pPr>
            <w:r>
              <w:rPr>
                <w:rFonts w:ascii="Arial" w:hAnsi="Arial"/>
                <w:lang w:val="ru"/>
              </w:rPr>
              <w:t>Информацию о штекерах и кабелях, подходящих для промышленного использования, см. в обзоре для заказа «</w:t>
            </w:r>
            <w:hyperlink r:id="rId16" w:history="1">
              <w:r>
                <w:rPr>
                  <w:rStyle w:val="Hyperlink"/>
                  <w:rFonts w:ascii="Arial" w:hAnsi="Arial"/>
                  <w:lang w:val="ru"/>
                </w:rPr>
                <w:t>Кабельные технологии для автоматизации промышленных и энергетических систем</w:t>
              </w:r>
            </w:hyperlink>
            <w:r>
              <w:rPr>
                <w:rFonts w:ascii="Arial" w:hAnsi="Arial"/>
                <w:lang w:val="ru"/>
              </w:rPr>
              <w:t>»</w:t>
            </w:r>
          </w:p>
          <w:p>
            <w:pPr>
              <w:pStyle w:val="TableContentBullet"/>
              <w:numPr>
                <w:ilvl w:val="0"/>
                <w:numId w:val="0"/>
              </w:numPr>
              <w:spacing w:before="0" w:after="0"/>
              <w:ind w:left="68"/>
            </w:pPr>
          </w:p>
        </w:tc>
      </w:tr>
      <w:tr>
        <w:tc>
          <w:tcPr>
            <w:tcW w:w="4855" w:type="dxa"/>
            <w:gridSpan w:val="3"/>
          </w:tcPr>
          <w:p>
            <w:pPr>
              <w:pStyle w:val="TableContent"/>
              <w:rPr>
                <w:noProof/>
              </w:rPr>
            </w:pPr>
          </w:p>
        </w:tc>
        <w:tc>
          <w:tcPr>
            <w:tcW w:w="1648" w:type="dxa"/>
            <w:gridSpan w:val="2"/>
          </w:tcPr>
          <w:p>
            <w:pPr>
              <w:pStyle w:val="TableContent"/>
              <w:rPr>
                <w:noProof/>
              </w:rPr>
            </w:pPr>
          </w:p>
        </w:tc>
        <w:tc>
          <w:tcPr>
            <w:tcW w:w="3361" w:type="dxa"/>
            <w:gridSpan w:val="3"/>
          </w:tcPr>
          <w:p>
            <w:pPr>
              <w:pStyle w:val="TableContent"/>
              <w:rPr>
                <w:noProof/>
              </w:rPr>
            </w:pPr>
          </w:p>
        </w:tc>
      </w:tr>
      <w:tr>
        <w:tc>
          <w:tcPr>
            <w:tcW w:w="2688" w:type="dxa"/>
            <w:tcBorders>
              <w:top w:val="single" w:sz="4" w:space="0" w:color="000000" w:themeColor="text1"/>
            </w:tcBorders>
          </w:tcPr>
          <w:p>
            <w:pPr>
              <w:pStyle w:val="TextAddress"/>
              <w:spacing w:before="120" w:after="0"/>
              <w:ind w:left="0"/>
              <w:rPr>
                <w:rFonts w:ascii="Arial" w:hAnsi="Arial"/>
                <w:szCs w:val="15"/>
                <w:lang w:val="en-US"/>
              </w:rPr>
            </w:pPr>
            <w:r>
              <w:rPr>
                <w:rFonts w:ascii="Arial" w:hAnsi="Arial"/>
                <w:szCs w:val="15"/>
                <w:lang w:val="ru"/>
              </w:rPr>
              <w:t>Siemens AG</w:t>
            </w:r>
            <w:r>
              <w:rPr>
                <w:rFonts w:ascii="Arial" w:hAnsi="Arial"/>
                <w:szCs w:val="15"/>
                <w:lang w:val="ru"/>
              </w:rPr>
              <w:br/>
              <w:t>Process Industries and Drives</w:t>
            </w:r>
          </w:p>
          <w:p>
            <w:pPr>
              <w:pStyle w:val="TextAddress"/>
              <w:spacing w:before="0" w:after="0"/>
              <w:ind w:left="0"/>
              <w:rPr>
                <w:rFonts w:ascii="Arial" w:hAnsi="Arial"/>
                <w:szCs w:val="15"/>
              </w:rPr>
            </w:pPr>
            <w:r>
              <w:rPr>
                <w:rFonts w:ascii="Arial" w:hAnsi="Arial"/>
                <w:szCs w:val="15"/>
                <w:lang w:val="ru"/>
              </w:rPr>
              <w:t>Process Automation</w:t>
            </w:r>
          </w:p>
          <w:p>
            <w:pPr>
              <w:spacing w:before="0"/>
              <w:rPr>
                <w:rFonts w:ascii="Arial" w:hAnsi="Arial"/>
                <w:sz w:val="15"/>
                <w:szCs w:val="15"/>
                <w:lang w:val="de-DE"/>
              </w:rPr>
            </w:pPr>
            <w:r>
              <w:rPr>
                <w:rFonts w:ascii="Arial" w:hAnsi="Arial"/>
                <w:sz w:val="15"/>
                <w:szCs w:val="15"/>
                <w:lang w:val="ru"/>
              </w:rPr>
              <w:t>Postbox 48 48</w:t>
            </w:r>
            <w:r>
              <w:rPr>
                <w:rFonts w:ascii="Arial" w:hAnsi="Arial"/>
                <w:sz w:val="15"/>
                <w:szCs w:val="15"/>
                <w:lang w:val="ru"/>
              </w:rPr>
              <w:br/>
              <w:t>90026 NÜRNBERG</w:t>
            </w:r>
          </w:p>
          <w:p>
            <w:pPr>
              <w:spacing w:before="0"/>
              <w:rPr>
                <w:rFonts w:ascii="Arial" w:hAnsi="Arial"/>
                <w:sz w:val="15"/>
                <w:szCs w:val="15"/>
                <w:lang w:eastAsia="zh-CN"/>
              </w:rPr>
            </w:pPr>
            <w:r>
              <w:rPr>
                <w:rFonts w:ascii="Arial" w:hAnsi="Arial"/>
                <w:sz w:val="15"/>
                <w:szCs w:val="15"/>
                <w:lang w:val="ru"/>
              </w:rPr>
              <w:t>DEUTSCHLAND</w:t>
            </w:r>
          </w:p>
        </w:tc>
        <w:tc>
          <w:tcPr>
            <w:tcW w:w="2578" w:type="dxa"/>
            <w:gridSpan w:val="3"/>
            <w:tcBorders>
              <w:top w:val="single" w:sz="4" w:space="0" w:color="000000" w:themeColor="text1"/>
            </w:tcBorders>
          </w:tcPr>
          <w:p>
            <w:pPr>
              <w:pStyle w:val="TextAddress"/>
              <w:rPr>
                <w:lang w:val="en-GB"/>
              </w:rPr>
            </w:pPr>
            <w:r>
              <w:rPr>
                <w:rFonts w:ascii="Arial" w:hAnsi="Arial"/>
                <w:lang w:val="ru"/>
              </w:rPr>
              <w:t>Оставляем за собой право на внесение изменений, 04/18</w:t>
            </w:r>
            <w:r>
              <w:rPr>
                <w:rFonts w:ascii="Arial" w:hAnsi="Arial"/>
                <w:lang w:val="ru"/>
              </w:rPr>
              <w:br/>
              <w:t>© Siemens AG 2018</w:t>
            </w:r>
          </w:p>
        </w:tc>
        <w:tc>
          <w:tcPr>
            <w:tcW w:w="4598" w:type="dxa"/>
            <w:gridSpan w:val="4"/>
            <w:tcBorders>
              <w:top w:val="single" w:sz="4" w:space="0" w:color="000000" w:themeColor="text1"/>
            </w:tcBorders>
          </w:tcPr>
          <w:p>
            <w:pPr>
              <w:pStyle w:val="Textlegal"/>
              <w:rPr>
                <w:lang w:val="ru"/>
              </w:rPr>
            </w:pPr>
            <w:r>
              <w:rPr>
                <w:rFonts w:ascii="Arial" w:hAnsi="Arial"/>
                <w:lang w:val="ru"/>
              </w:rPr>
              <w:t>Права на внесение изменений и наличие ошибок сохранены. Сведения в</w:t>
            </w:r>
            <w:r>
              <w:rPr>
                <w:rFonts w:ascii="Arial" w:hAnsi="Arial"/>
                <w:lang w:val="en-US"/>
              </w:rPr>
              <w:t> </w:t>
            </w:r>
            <w:r>
              <w:rPr>
                <w:rFonts w:ascii="Arial" w:hAnsi="Arial"/>
                <w:lang w:val="ru"/>
              </w:rPr>
              <w:t>этом документе содержат описания или технические характеристики, которые в конкретных случаях использования не всегда соответствуют приведенным здесь данным и которые вследствие развития техники могли быть уже изменены. Характеристики только тогда являются обязательными, когда они четко согласованы в рамках заключенного договора.</w:t>
            </w:r>
          </w:p>
        </w:tc>
      </w:tr>
    </w:tbl>
    <w:p>
      <w:pPr>
        <w:rPr>
          <w:rFonts w:ascii="Arial" w:hAnsi="Arial"/>
          <w:sz w:val="8"/>
          <w:lang w:val="ru"/>
        </w:rPr>
      </w:pPr>
    </w:p>
    <w:sectPr>
      <w:footerReference w:type="default" r:id="rId17"/>
      <w:headerReference w:type="first" r:id="rId18"/>
      <w:footerReference w:type="first" r:id="rId19"/>
      <w:pgSz w:w="11906" w:h="16838" w:code="9"/>
      <w:pgMar w:top="1021" w:right="1021" w:bottom="709" w:left="1021" w:header="431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  <w:p/>
  </w:endnote>
  <w:endnote w:type="continuationSeparator" w:id="0">
    <w:p>
      <w:r>
        <w:continuationSeparator/>
      </w:r>
    </w:p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Siemens Sans">
    <w:altName w:val="Sitka Small"/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uzeile"/>
      <w:jc w:val="right"/>
      <w:rPr>
        <w:rFonts w:ascii="Arial" w:hAnsi="Arial"/>
        <w:b/>
        <w:sz w:val="18"/>
      </w:rPr>
    </w:pPr>
    <w:hyperlink r:id="rId1" w:history="1">
      <w:r>
        <w:rPr>
          <w:rStyle w:val="Hyperlink"/>
          <w:rFonts w:ascii="Arial" w:hAnsi="Arial"/>
          <w:b/>
          <w:bCs/>
          <w:sz w:val="18"/>
          <w:lang w:val="ru"/>
        </w:rPr>
        <w:t>siemens.</w:t>
      </w:r>
      <w:proofErr w:type="spellStart"/>
      <w:r>
        <w:rPr>
          <w:rStyle w:val="Hyperlink"/>
          <w:rFonts w:ascii="Arial" w:hAnsi="Arial"/>
          <w:b/>
          <w:bCs/>
          <w:sz w:val="18"/>
          <w:lang w:val="de-DE"/>
        </w:rPr>
        <w:t>com</w:t>
      </w:r>
      <w:proofErr w:type="spellEnd"/>
      <w:r>
        <w:rPr>
          <w:rStyle w:val="Hyperlink"/>
          <w:rFonts w:ascii="Arial" w:hAnsi="Arial"/>
          <w:b/>
          <w:bCs/>
          <w:sz w:val="18"/>
          <w:lang w:val="ru"/>
        </w:rPr>
        <w:t>/xp-200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uzeile"/>
      <w:jc w:val="right"/>
      <w:rPr>
        <w:b/>
        <w:sz w:val="18"/>
      </w:rPr>
    </w:pPr>
    <w:hyperlink r:id="rId1" w:history="1">
      <w:r>
        <w:rPr>
          <w:rStyle w:val="Hyperlink"/>
          <w:b/>
          <w:bCs/>
          <w:sz w:val="18"/>
          <w:lang w:val="ru"/>
        </w:rPr>
        <w:t>siemens.</w:t>
      </w:r>
      <w:proofErr w:type="spellStart"/>
      <w:r>
        <w:rPr>
          <w:rStyle w:val="Hyperlink"/>
          <w:b/>
          <w:bCs/>
          <w:sz w:val="18"/>
          <w:lang w:val="de-DE"/>
        </w:rPr>
        <w:t>com</w:t>
      </w:r>
      <w:proofErr w:type="spellEnd"/>
      <w:r>
        <w:rPr>
          <w:rStyle w:val="Hyperlink"/>
          <w:b/>
          <w:bCs/>
          <w:sz w:val="18"/>
          <w:lang w:val="ru"/>
        </w:rPr>
        <w:t>/xp-200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  <w:p/>
  </w:footnote>
  <w:footnote w:type="continuationSeparator" w:id="0">
    <w:p>
      <w:r>
        <w:continuationSeparator/>
      </w:r>
    </w:p>
    <w:p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Kopfzeile"/>
      <w:rPr>
        <w:rFonts w:ascii="Arial" w:hAnsi="Arial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right</wp:align>
              </wp:positionH>
              <wp:positionV relativeFrom="page">
                <wp:align>top</wp:align>
              </wp:positionV>
              <wp:extent cx="6245860" cy="4320000"/>
              <wp:effectExtent l="0" t="0" r="0" b="4445"/>
              <wp:wrapTopAndBottom/>
              <wp:docPr id="276" name="Rechteck 2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45860" cy="432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276" o:spid="_x0000_s1026" style="position:absolute;left:0;text-align:left;margin-left:440.6pt;margin-top:0;width:491.8pt;height:340.1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" filled="f" stroked="f" strokeweight="1pt">
              <w10:wrap type="topAndBottom" anchorx="margin" anchory="page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239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-263052</wp:posOffset>
              </wp:positionV>
              <wp:extent cx="7560000" cy="2880000"/>
              <wp:effectExtent l="0" t="0" r="3175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2880000"/>
                      </a:xfrm>
                      <a:prstGeom prst="rect">
                        <a:avLst/>
                      </a:prstGeom>
                      <a:solidFill>
                        <a:srgbClr val="E5E4D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1" o:spid="_x0000_s1026" style="position:absolute;left:0;text-align:left;margin-left:0;margin-top:-20.7pt;width:595.3pt;height:226.75pt;z-index:25165823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" fillcolor="#e5e4dd" stroked="f" strokeweight="1pt">
              <w10:wrap anchorx="page"/>
            </v:rect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4253865</wp:posOffset>
          </wp:positionH>
          <wp:positionV relativeFrom="paragraph">
            <wp:posOffset>298450</wp:posOffset>
          </wp:positionV>
          <wp:extent cx="2020570" cy="850265"/>
          <wp:effectExtent l="0" t="0" r="0" b="6985"/>
          <wp:wrapSquare wrapText="bothSides"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in-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0570" cy="850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B5494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63823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01D234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4A219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3454E6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828C7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4F49B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686F3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FCAA1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E209C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1F6984"/>
    <w:multiLevelType w:val="multilevel"/>
    <w:tmpl w:val="E7264BD4"/>
    <w:lvl w:ilvl="0">
      <w:start w:val="1"/>
      <w:numFmt w:val="bullet"/>
      <w:pStyle w:val="Bullets"/>
      <w:lvlText w:val=""/>
      <w:lvlJc w:val="left"/>
      <w:pPr>
        <w:tabs>
          <w:tab w:val="num" w:pos="431"/>
        </w:tabs>
        <w:ind w:left="431" w:hanging="431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862"/>
        </w:tabs>
        <w:ind w:left="862" w:hanging="431"/>
      </w:pPr>
      <w:rPr>
        <w:rFonts w:hint="default"/>
      </w:rPr>
    </w:lvl>
    <w:lvl w:ilvl="2">
      <w:start w:val="1"/>
      <w:numFmt w:val="bullet"/>
      <w:lvlText w:val=""/>
      <w:lvlJc w:val="left"/>
      <w:pPr>
        <w:tabs>
          <w:tab w:val="num" w:pos="1293"/>
        </w:tabs>
        <w:ind w:left="1293" w:hanging="431"/>
      </w:pPr>
      <w:rPr>
        <w:rFonts w:ascii="Wingdings" w:hAnsi="Wingdings" w:hint="default"/>
      </w:rPr>
    </w:lvl>
    <w:lvl w:ilvl="3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</w:abstractNum>
  <w:abstractNum w:abstractNumId="11">
    <w:nsid w:val="16FA2676"/>
    <w:multiLevelType w:val="hybridMultilevel"/>
    <w:tmpl w:val="67908636"/>
    <w:lvl w:ilvl="0" w:tplc="0407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2">
    <w:nsid w:val="20FA3C3B"/>
    <w:multiLevelType w:val="multilevel"/>
    <w:tmpl w:val="139ED5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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3">
    <w:nsid w:val="2AEC6D03"/>
    <w:multiLevelType w:val="hybridMultilevel"/>
    <w:tmpl w:val="A49C6052"/>
    <w:lvl w:ilvl="0" w:tplc="1F705DFE">
      <w:start w:val="1"/>
      <w:numFmt w:val="decimal"/>
      <w:pStyle w:val="ListenAuto"/>
      <w:lvlText w:val="%1."/>
      <w:lvlJc w:val="left"/>
      <w:pPr>
        <w:tabs>
          <w:tab w:val="num" w:pos="431"/>
        </w:tabs>
        <w:ind w:left="431" w:hanging="431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FAF19B5"/>
    <w:multiLevelType w:val="multilevel"/>
    <w:tmpl w:val="DCCE8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303C45"/>
    <w:multiLevelType w:val="hybridMultilevel"/>
    <w:tmpl w:val="C778FE06"/>
    <w:lvl w:ilvl="0" w:tplc="0407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6">
    <w:nsid w:val="5AD15E6A"/>
    <w:multiLevelType w:val="multilevel"/>
    <w:tmpl w:val="C6F6624E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berschrift4"/>
      <w:lvlText w:val="%1.%2.%3.%4.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berschrift5"/>
      <w:lvlText w:val="%1.%2.%3.%4.%5.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berschrift6"/>
      <w:lvlText w:val="%1.%2.%3.%4.%5.%6."/>
      <w:lvlJc w:val="left"/>
      <w:pPr>
        <w:tabs>
          <w:tab w:val="num" w:pos="1264"/>
        </w:tabs>
        <w:ind w:left="1264" w:hanging="1264"/>
      </w:pPr>
      <w:rPr>
        <w:rFonts w:cs="Times New Roman" w:hint="default"/>
      </w:rPr>
    </w:lvl>
    <w:lvl w:ilvl="6">
      <w:start w:val="1"/>
      <w:numFmt w:val="decimal"/>
      <w:pStyle w:val="berschrift7"/>
      <w:lvlText w:val="%1.%2.%3.%4.%5.%6.%7."/>
      <w:lvlJc w:val="left"/>
      <w:pPr>
        <w:tabs>
          <w:tab w:val="num" w:pos="1440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berschrift8"/>
      <w:lvlText w:val="%1.%2.%3.%4.%5.%6.%7.%8."/>
      <w:lvlJc w:val="left"/>
      <w:pPr>
        <w:tabs>
          <w:tab w:val="num" w:pos="180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berschrift9"/>
      <w:lvlText w:val="%1.%2.%3.%4.%5.%6.%7.%8.%9."/>
      <w:lvlJc w:val="left"/>
      <w:pPr>
        <w:tabs>
          <w:tab w:val="num" w:pos="1800"/>
        </w:tabs>
        <w:ind w:left="1584" w:hanging="1584"/>
      </w:pPr>
      <w:rPr>
        <w:rFonts w:cs="Times New Roman" w:hint="default"/>
      </w:rPr>
    </w:lvl>
  </w:abstractNum>
  <w:abstractNum w:abstractNumId="17">
    <w:nsid w:val="783267D2"/>
    <w:multiLevelType w:val="multilevel"/>
    <w:tmpl w:val="489A8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none"/>
      <w:lvlText w:val="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18">
    <w:nsid w:val="7E4D146E"/>
    <w:multiLevelType w:val="hybridMultilevel"/>
    <w:tmpl w:val="AF781A3E"/>
    <w:lvl w:ilvl="0" w:tplc="427A8EE2">
      <w:start w:val="1"/>
      <w:numFmt w:val="bullet"/>
      <w:pStyle w:val="TableContentBullet"/>
      <w:lvlText w:val=""/>
      <w:lvlJc w:val="left"/>
      <w:pPr>
        <w:ind w:left="777" w:hanging="360"/>
      </w:pPr>
      <w:rPr>
        <w:rFonts w:ascii="Symbol" w:hAnsi="Symbol" w:hint="default"/>
        <w:sz w:val="16"/>
      </w:rPr>
    </w:lvl>
    <w:lvl w:ilvl="1" w:tplc="0407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17"/>
  </w:num>
  <w:num w:numId="4">
    <w:abstractNumId w:val="10"/>
  </w:num>
  <w:num w:numId="5">
    <w:abstractNumId w:val="13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8"/>
  </w:num>
  <w:num w:numId="17">
    <w:abstractNumId w:val="18"/>
  </w:num>
  <w:num w:numId="18">
    <w:abstractNumId w:val="18"/>
  </w:num>
  <w:num w:numId="19">
    <w:abstractNumId w:val="14"/>
  </w:num>
  <w:num w:numId="20">
    <w:abstractNumId w:val="11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bordersDoNotSurroundHeader/>
  <w:bordersDoNotSurroundFooter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 w:semiHidden="1" w:unhideWhenUs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Siemens Sans" w:hAnsi="Siemens Sans"/>
      <w:color w:val="000000"/>
      <w:sz w:val="18"/>
      <w:szCs w:val="24"/>
      <w:lang w:val="en-GB" w:eastAsia="en-US"/>
    </w:rPr>
  </w:style>
  <w:style w:type="paragraph" w:styleId="berschrift1">
    <w:name w:val="heading 1"/>
    <w:basedOn w:val="Standard"/>
    <w:next w:val="Standard"/>
    <w:link w:val="berschrift1Zchn"/>
    <w:qFormat/>
    <w:pPr>
      <w:keepNext/>
      <w:numPr>
        <w:numId w:val="1"/>
      </w:numPr>
      <w:spacing w:before="600" w:after="240"/>
      <w:ind w:left="454" w:hanging="454"/>
      <w:outlineLvl w:val="0"/>
    </w:pPr>
    <w:rPr>
      <w:rFonts w:cs="Arial"/>
      <w:bCs/>
      <w:color w:val="005B81"/>
      <w:kern w:val="32"/>
      <w:sz w:val="44"/>
    </w:rPr>
  </w:style>
  <w:style w:type="paragraph" w:styleId="berschrift2">
    <w:name w:val="heading 2"/>
    <w:basedOn w:val="Standard"/>
    <w:next w:val="Standard"/>
    <w:link w:val="berschrift2Zchn"/>
    <w:qFormat/>
    <w:pPr>
      <w:keepNext/>
      <w:numPr>
        <w:ilvl w:val="1"/>
        <w:numId w:val="1"/>
      </w:numPr>
      <w:spacing w:before="480" w:after="240"/>
      <w:ind w:left="454" w:hanging="454"/>
      <w:outlineLvl w:val="1"/>
    </w:pPr>
    <w:rPr>
      <w:rFonts w:cs="Arial"/>
      <w:b/>
      <w:bCs/>
      <w:iCs/>
      <w:color w:val="B1AFA1"/>
      <w:sz w:val="24"/>
      <w:szCs w:val="28"/>
    </w:rPr>
  </w:style>
  <w:style w:type="paragraph" w:styleId="berschrift3">
    <w:name w:val="heading 3"/>
    <w:basedOn w:val="Standard"/>
    <w:next w:val="Standard"/>
    <w:link w:val="berschrift3Zchn"/>
    <w:qFormat/>
    <w:pPr>
      <w:keepNext/>
      <w:numPr>
        <w:ilvl w:val="2"/>
        <w:numId w:val="1"/>
      </w:numPr>
      <w:spacing w:before="360"/>
      <w:ind w:left="709" w:hanging="709"/>
      <w:outlineLvl w:val="2"/>
    </w:pPr>
    <w:rPr>
      <w:rFonts w:cs="Arial"/>
      <w:b/>
      <w:bCs/>
      <w:color w:val="B1AFA1"/>
      <w:sz w:val="24"/>
    </w:rPr>
  </w:style>
  <w:style w:type="paragraph" w:styleId="berschrift4">
    <w:name w:val="heading 4"/>
    <w:basedOn w:val="Standard"/>
    <w:next w:val="Standard"/>
    <w:link w:val="berschrift4Zchn"/>
    <w:qFormat/>
    <w:pPr>
      <w:keepNext/>
      <w:numPr>
        <w:ilvl w:val="3"/>
        <w:numId w:val="1"/>
      </w:numPr>
      <w:tabs>
        <w:tab w:val="clear" w:pos="864"/>
      </w:tabs>
      <w:spacing w:before="360"/>
      <w:ind w:left="851" w:hanging="851"/>
      <w:outlineLvl w:val="3"/>
    </w:pPr>
    <w:rPr>
      <w:b/>
      <w:bCs/>
      <w:color w:val="B1AFA1"/>
      <w:sz w:val="24"/>
      <w:szCs w:val="28"/>
    </w:rPr>
  </w:style>
  <w:style w:type="paragraph" w:styleId="berschrift5">
    <w:name w:val="heading 5"/>
    <w:basedOn w:val="berschrift4"/>
    <w:next w:val="Standard"/>
    <w:link w:val="berschrift5Zchn"/>
    <w:qFormat/>
    <w:pPr>
      <w:numPr>
        <w:ilvl w:val="4"/>
      </w:numPr>
      <w:tabs>
        <w:tab w:val="clear" w:pos="1008"/>
      </w:tabs>
      <w:ind w:left="1077" w:hanging="1077"/>
      <w:outlineLvl w:val="4"/>
    </w:pPr>
    <w:rPr>
      <w:bCs w:val="0"/>
      <w:iCs/>
      <w:szCs w:val="26"/>
    </w:rPr>
  </w:style>
  <w:style w:type="paragraph" w:styleId="berschrift6">
    <w:name w:val="heading 6"/>
    <w:basedOn w:val="berschrift4"/>
    <w:next w:val="Standard"/>
    <w:link w:val="berschrift6Zchn"/>
    <w:qFormat/>
    <w:pPr>
      <w:numPr>
        <w:ilvl w:val="5"/>
      </w:numPr>
      <w:outlineLvl w:val="5"/>
    </w:pPr>
    <w:rPr>
      <w:bCs w:val="0"/>
      <w:szCs w:val="22"/>
    </w:rPr>
  </w:style>
  <w:style w:type="paragraph" w:styleId="berschrift7">
    <w:name w:val="heading 7"/>
    <w:basedOn w:val="berschrift4"/>
    <w:next w:val="Standard"/>
    <w:link w:val="berschrift7Zchn"/>
    <w:qFormat/>
    <w:pPr>
      <w:numPr>
        <w:ilvl w:val="6"/>
      </w:numPr>
      <w:outlineLvl w:val="6"/>
    </w:pPr>
    <w:rPr>
      <w:sz w:val="20"/>
    </w:rPr>
  </w:style>
  <w:style w:type="paragraph" w:styleId="berschrift8">
    <w:name w:val="heading 8"/>
    <w:basedOn w:val="Standard"/>
    <w:next w:val="Standard"/>
    <w:link w:val="berschrift8Zchn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qFormat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locked/>
    <w:rPr>
      <w:rFonts w:ascii="Arial" w:hAnsi="Arial" w:cs="Arial"/>
      <w:bCs/>
      <w:color w:val="005B81"/>
      <w:kern w:val="32"/>
      <w:sz w:val="44"/>
      <w:szCs w:val="24"/>
      <w:lang w:val="en-GB" w:eastAsia="en-US"/>
    </w:rPr>
  </w:style>
  <w:style w:type="character" w:customStyle="1" w:styleId="berschrift2Zchn">
    <w:name w:val="Überschrift 2 Zchn"/>
    <w:basedOn w:val="Absatz-Standardschriftart"/>
    <w:link w:val="berschrift2"/>
    <w:locked/>
    <w:rPr>
      <w:rFonts w:ascii="Arial" w:hAnsi="Arial" w:cs="Arial"/>
      <w:b/>
      <w:bCs/>
      <w:iCs/>
      <w:color w:val="B1AFA1"/>
      <w:sz w:val="24"/>
      <w:szCs w:val="28"/>
      <w:lang w:val="en-GB" w:eastAsia="en-US"/>
    </w:rPr>
  </w:style>
  <w:style w:type="character" w:customStyle="1" w:styleId="berschrift3Zchn">
    <w:name w:val="Überschrift 3 Zchn"/>
    <w:basedOn w:val="Absatz-Standardschriftart"/>
    <w:link w:val="berschrift3"/>
    <w:locked/>
    <w:rPr>
      <w:rFonts w:ascii="Arial" w:hAnsi="Arial" w:cs="Arial"/>
      <w:b/>
      <w:bCs/>
      <w:color w:val="B1AFA1"/>
      <w:sz w:val="24"/>
      <w:szCs w:val="24"/>
      <w:lang w:val="en-GB" w:eastAsia="en-US"/>
    </w:rPr>
  </w:style>
  <w:style w:type="character" w:customStyle="1" w:styleId="berschrift4Zchn">
    <w:name w:val="Überschrift 4 Zchn"/>
    <w:basedOn w:val="Absatz-Standardschriftart"/>
    <w:link w:val="berschrift4"/>
    <w:locked/>
    <w:rPr>
      <w:rFonts w:ascii="Arial" w:hAnsi="Arial"/>
      <w:b/>
      <w:bCs/>
      <w:color w:val="B1AFA1"/>
      <w:sz w:val="24"/>
      <w:szCs w:val="28"/>
      <w:lang w:val="en-GB" w:eastAsia="en-US"/>
    </w:rPr>
  </w:style>
  <w:style w:type="character" w:customStyle="1" w:styleId="berschrift5Zchn">
    <w:name w:val="Überschrift 5 Zchn"/>
    <w:basedOn w:val="Absatz-Standardschriftart"/>
    <w:link w:val="berschrift5"/>
    <w:locked/>
    <w:rPr>
      <w:rFonts w:ascii="Arial" w:hAnsi="Arial"/>
      <w:b/>
      <w:iCs/>
      <w:color w:val="A9A998"/>
      <w:sz w:val="24"/>
      <w:szCs w:val="26"/>
      <w:lang w:val="en-GB" w:eastAsia="en-US"/>
    </w:rPr>
  </w:style>
  <w:style w:type="character" w:customStyle="1" w:styleId="berschrift6Zchn">
    <w:name w:val="Überschrift 6 Zchn"/>
    <w:basedOn w:val="Absatz-Standardschriftart"/>
    <w:link w:val="berschrift6"/>
    <w:locked/>
    <w:rPr>
      <w:rFonts w:ascii="Arial" w:hAnsi="Arial"/>
      <w:b/>
      <w:color w:val="A9A998"/>
      <w:sz w:val="24"/>
      <w:szCs w:val="22"/>
      <w:lang w:val="en-GB" w:eastAsia="en-US"/>
    </w:rPr>
  </w:style>
  <w:style w:type="character" w:customStyle="1" w:styleId="berschrift7Zchn">
    <w:name w:val="Überschrift 7 Zchn"/>
    <w:basedOn w:val="Absatz-Standardschriftart"/>
    <w:link w:val="berschrift7"/>
    <w:semiHidden/>
    <w:locked/>
    <w:rPr>
      <w:rFonts w:ascii="Calibri" w:hAnsi="Calibri" w:cs="Times New Roman"/>
      <w:color w:val="000000"/>
      <w:sz w:val="24"/>
      <w:szCs w:val="24"/>
      <w:lang w:val="en-GB" w:eastAsia="x-none"/>
    </w:rPr>
  </w:style>
  <w:style w:type="character" w:customStyle="1" w:styleId="berschrift8Zchn">
    <w:name w:val="Überschrift 8 Zchn"/>
    <w:basedOn w:val="Absatz-Standardschriftart"/>
    <w:link w:val="berschrift8"/>
    <w:semiHidden/>
    <w:locked/>
    <w:rPr>
      <w:rFonts w:ascii="Calibri" w:hAnsi="Calibri" w:cs="Times New Roman"/>
      <w:i/>
      <w:iCs/>
      <w:color w:val="000000"/>
      <w:sz w:val="24"/>
      <w:szCs w:val="24"/>
      <w:lang w:val="en-GB" w:eastAsia="x-none"/>
    </w:rPr>
  </w:style>
  <w:style w:type="character" w:customStyle="1" w:styleId="berschrift9Zchn">
    <w:name w:val="Überschrift 9 Zchn"/>
    <w:basedOn w:val="Absatz-Standardschriftart"/>
    <w:link w:val="berschrift9"/>
    <w:semiHidden/>
    <w:locked/>
    <w:rPr>
      <w:rFonts w:ascii="Cambria" w:hAnsi="Cambria" w:cs="Times New Roman"/>
      <w:color w:val="000000"/>
      <w:lang w:val="en-GB" w:eastAsia="x-none"/>
    </w:rPr>
  </w:style>
  <w:style w:type="paragraph" w:styleId="Kopfzeile">
    <w:name w:val="header"/>
    <w:basedOn w:val="Standard"/>
    <w:link w:val="KopfzeileZchn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basedOn w:val="Absatz-Standardschriftart"/>
    <w:link w:val="Kopfzeile"/>
    <w:semiHidden/>
    <w:locked/>
    <w:rPr>
      <w:rFonts w:ascii="Arial" w:hAnsi="Arial" w:cs="Times New Roman"/>
      <w:color w:val="000000"/>
      <w:sz w:val="24"/>
      <w:szCs w:val="24"/>
      <w:lang w:val="en-GB" w:eastAsia="x-none"/>
    </w:rPr>
  </w:style>
  <w:style w:type="paragraph" w:customStyle="1" w:styleId="Titel3black">
    <w:name w:val="Titel_3_black"/>
    <w:basedOn w:val="Standard"/>
    <w:pPr>
      <w:spacing w:before="240" w:after="60" w:line="360" w:lineRule="auto"/>
      <w:ind w:left="851"/>
    </w:pPr>
    <w:rPr>
      <w:sz w:val="32"/>
      <w:szCs w:val="20"/>
    </w:rPr>
  </w:style>
  <w:style w:type="paragraph" w:customStyle="1" w:styleId="header1purple">
    <w:name w:val="header_1 purple"/>
    <w:basedOn w:val="Standard"/>
    <w:rPr>
      <w:color w:val="46166B"/>
    </w:rPr>
  </w:style>
  <w:style w:type="paragraph" w:styleId="Fuzeile">
    <w:name w:val="footer"/>
    <w:basedOn w:val="Standard"/>
    <w:link w:val="FuzeileZchn"/>
    <w:pPr>
      <w:tabs>
        <w:tab w:val="center" w:pos="4153"/>
        <w:tab w:val="right" w:pos="8306"/>
      </w:tabs>
    </w:pPr>
    <w:rPr>
      <w:color w:val="auto"/>
      <w:sz w:val="12"/>
      <w:szCs w:val="20"/>
    </w:rPr>
  </w:style>
  <w:style w:type="character" w:customStyle="1" w:styleId="FuzeileZchn">
    <w:name w:val="Fußzeile Zchn"/>
    <w:basedOn w:val="Absatz-Standardschriftart"/>
    <w:link w:val="Fuzeile"/>
    <w:semiHidden/>
    <w:locked/>
    <w:rPr>
      <w:rFonts w:ascii="Arial" w:hAnsi="Arial" w:cs="Times New Roman"/>
      <w:color w:val="000000"/>
      <w:sz w:val="24"/>
      <w:szCs w:val="24"/>
      <w:lang w:val="en-GB" w:eastAsia="x-none"/>
    </w:rPr>
  </w:style>
  <w:style w:type="character" w:styleId="Seitenzahl">
    <w:name w:val="page number"/>
    <w:basedOn w:val="Absatz-Standardschriftart"/>
    <w:rPr>
      <w:rFonts w:ascii="Siemens Sans" w:hAnsi="Siemens Sans" w:cs="Times New Roman"/>
      <w:sz w:val="16"/>
      <w:lang w:val="en-GB" w:eastAsia="x-none"/>
    </w:rPr>
  </w:style>
  <w:style w:type="paragraph" w:styleId="Verzeichnis3">
    <w:name w:val="toc 3"/>
    <w:basedOn w:val="Standard"/>
    <w:next w:val="Standard"/>
    <w:autoRedefine/>
    <w:uiPriority w:val="39"/>
    <w:pPr>
      <w:spacing w:before="60"/>
      <w:ind w:left="227"/>
    </w:pPr>
    <w:rPr>
      <w:color w:val="B1AFA1"/>
      <w:szCs w:val="26"/>
    </w:rPr>
  </w:style>
  <w:style w:type="paragraph" w:customStyle="1" w:styleId="PartX">
    <w:name w:val="Part_X"/>
    <w:pPr>
      <w:spacing w:before="400"/>
      <w:ind w:left="851"/>
      <w:jc w:val="center"/>
    </w:pPr>
    <w:rPr>
      <w:rFonts w:ascii="Siemens Sans" w:hAnsi="Siemens Sans"/>
      <w:color w:val="000000"/>
      <w:sz w:val="32"/>
      <w:lang w:val="en-GB" w:eastAsia="en-US"/>
    </w:rPr>
  </w:style>
  <w:style w:type="paragraph" w:customStyle="1" w:styleId="PSD">
    <w:name w:val="PSD"/>
    <w:pPr>
      <w:spacing w:before="400"/>
      <w:ind w:left="851"/>
      <w:jc w:val="center"/>
    </w:pPr>
    <w:rPr>
      <w:rFonts w:ascii="Siemens Sans" w:hAnsi="Siemens Sans"/>
      <w:color w:val="000000"/>
      <w:sz w:val="32"/>
      <w:lang w:val="en-GB" w:eastAsia="en-US"/>
    </w:rPr>
  </w:style>
  <w:style w:type="paragraph" w:customStyle="1" w:styleId="Bullets">
    <w:name w:val="Bullets"/>
    <w:basedOn w:val="Standard"/>
    <w:pPr>
      <w:numPr>
        <w:numId w:val="4"/>
      </w:numPr>
    </w:pPr>
    <w:rPr>
      <w:color w:val="auto"/>
      <w:lang w:val="de-DE"/>
    </w:rPr>
  </w:style>
  <w:style w:type="paragraph" w:customStyle="1" w:styleId="ListenAuto">
    <w:name w:val="Listen_Auto"/>
    <w:basedOn w:val="Standard"/>
    <w:pPr>
      <w:numPr>
        <w:numId w:val="5"/>
      </w:numPr>
    </w:pPr>
  </w:style>
  <w:style w:type="paragraph" w:customStyle="1" w:styleId="ListenManuel">
    <w:name w:val="Listen_Manuel"/>
    <w:basedOn w:val="Standard"/>
    <w:pPr>
      <w:ind w:left="431" w:hanging="431"/>
    </w:pPr>
  </w:style>
  <w:style w:type="paragraph" w:customStyle="1" w:styleId="Figure">
    <w:name w:val="Figure"/>
    <w:next w:val="Standard"/>
    <w:pPr>
      <w:spacing w:before="120"/>
    </w:pPr>
    <w:rPr>
      <w:rFonts w:ascii="Siemens Sans" w:hAnsi="Siemens Sans"/>
      <w:i/>
      <w:sz w:val="16"/>
      <w:lang w:val="en-GB" w:eastAsia="en-US"/>
    </w:rPr>
  </w:style>
  <w:style w:type="paragraph" w:customStyle="1" w:styleId="PullQuote">
    <w:name w:val="Pull Quote"/>
    <w:next w:val="Standard"/>
    <w:pPr>
      <w:pBdr>
        <w:top w:val="single" w:sz="24" w:space="1" w:color="46166B"/>
        <w:bottom w:val="single" w:sz="12" w:space="1" w:color="999999"/>
      </w:pBdr>
      <w:spacing w:before="120" w:after="120"/>
      <w:ind w:left="851"/>
      <w:jc w:val="center"/>
    </w:pPr>
    <w:rPr>
      <w:rFonts w:ascii="Siemens Sans" w:hAnsi="Siemens Sans"/>
      <w:b/>
      <w:sz w:val="24"/>
      <w:lang w:eastAsia="en-US"/>
    </w:rPr>
  </w:style>
  <w:style w:type="paragraph" w:customStyle="1" w:styleId="TableTitel">
    <w:name w:val="Table Titel"/>
    <w:pPr>
      <w:spacing w:before="60" w:after="60"/>
      <w:ind w:left="57"/>
    </w:pPr>
    <w:rPr>
      <w:rFonts w:ascii="Siemens Sans" w:hAnsi="Siemens Sans"/>
      <w:b/>
      <w:color w:val="FFFFFF" w:themeColor="background1"/>
      <w:sz w:val="18"/>
      <w:lang w:val="en-GB" w:eastAsia="en-US"/>
    </w:rPr>
  </w:style>
  <w:style w:type="paragraph" w:customStyle="1" w:styleId="TableContent">
    <w:name w:val="Table Content"/>
    <w:pPr>
      <w:spacing w:before="60" w:after="60"/>
      <w:ind w:left="57"/>
    </w:pPr>
    <w:rPr>
      <w:rFonts w:ascii="Siemens Sans" w:hAnsi="Siemens Sans"/>
      <w:sz w:val="18"/>
      <w:lang w:val="en-GB" w:eastAsia="en-US"/>
    </w:rPr>
  </w:style>
  <w:style w:type="paragraph" w:customStyle="1" w:styleId="TableSubtitel">
    <w:name w:val="Table Subtitel"/>
    <w:pPr>
      <w:spacing w:before="120" w:after="120"/>
      <w:ind w:left="113"/>
    </w:pPr>
    <w:rPr>
      <w:rFonts w:ascii="Siemens Sans" w:hAnsi="Siemens Sans"/>
      <w:b/>
      <w:lang w:val="en-GB" w:eastAsia="en-US"/>
    </w:rPr>
  </w:style>
  <w:style w:type="paragraph" w:customStyle="1" w:styleId="BulletFirst">
    <w:name w:val="Bullet First"/>
    <w:basedOn w:val="Bullets"/>
    <w:next w:val="Bullets"/>
    <w:pPr>
      <w:spacing w:before="280"/>
    </w:pPr>
    <w:rPr>
      <w:lang w:val="en-GB"/>
    </w:rPr>
  </w:style>
  <w:style w:type="paragraph" w:styleId="Verzeichnis1">
    <w:name w:val="toc 1"/>
    <w:basedOn w:val="Standard"/>
    <w:next w:val="Standard"/>
    <w:autoRedefine/>
    <w:uiPriority w:val="39"/>
    <w:pPr>
      <w:tabs>
        <w:tab w:val="left" w:pos="227"/>
        <w:tab w:val="right" w:leader="dot" w:pos="9639"/>
      </w:tabs>
      <w:spacing w:before="120"/>
      <w:ind w:left="340" w:hanging="340"/>
    </w:pPr>
    <w:rPr>
      <w:b/>
      <w:bCs/>
      <w:caps/>
      <w:noProof/>
      <w:color w:val="005B81"/>
      <w:szCs w:val="26"/>
      <w:lang w:val="de-DE"/>
    </w:rPr>
  </w:style>
  <w:style w:type="paragraph" w:styleId="Verzeichnis2">
    <w:name w:val="toc 2"/>
    <w:basedOn w:val="Standard"/>
    <w:next w:val="Standard"/>
    <w:autoRedefine/>
    <w:uiPriority w:val="39"/>
    <w:pPr>
      <w:tabs>
        <w:tab w:val="left" w:pos="640"/>
        <w:tab w:val="right" w:leader="dot" w:pos="9854"/>
      </w:tabs>
      <w:spacing w:before="60"/>
      <w:ind w:left="227"/>
    </w:pPr>
    <w:rPr>
      <w:bCs/>
      <w:noProof/>
      <w:color w:val="B1AFA1"/>
      <w:szCs w:val="26"/>
      <w:lang w:val="de-DE"/>
    </w:rPr>
  </w:style>
  <w:style w:type="paragraph" w:styleId="Verzeichnis4">
    <w:name w:val="toc 4"/>
    <w:basedOn w:val="Standard"/>
    <w:next w:val="Standard"/>
    <w:autoRedefine/>
    <w:uiPriority w:val="39"/>
    <w:pPr>
      <w:tabs>
        <w:tab w:val="left" w:pos="940"/>
        <w:tab w:val="right" w:leader="dot" w:pos="9854"/>
      </w:tabs>
      <w:spacing w:before="60"/>
      <w:ind w:left="227"/>
    </w:pPr>
    <w:rPr>
      <w:color w:val="B1AFA1"/>
      <w:szCs w:val="26"/>
    </w:rPr>
  </w:style>
  <w:style w:type="paragraph" w:styleId="Verzeichnis5">
    <w:name w:val="toc 5"/>
    <w:basedOn w:val="Standard"/>
    <w:next w:val="Standard"/>
    <w:autoRedefine/>
    <w:uiPriority w:val="39"/>
    <w:pPr>
      <w:spacing w:before="60"/>
      <w:ind w:left="227"/>
    </w:pPr>
    <w:rPr>
      <w:color w:val="A9A998"/>
      <w:szCs w:val="26"/>
    </w:rPr>
  </w:style>
  <w:style w:type="paragraph" w:styleId="Verzeichnis6">
    <w:name w:val="toc 6"/>
    <w:basedOn w:val="Standard"/>
    <w:next w:val="Standard"/>
    <w:autoRedefine/>
    <w:semiHidden/>
    <w:pPr>
      <w:spacing w:before="60"/>
      <w:ind w:left="170"/>
    </w:pPr>
    <w:rPr>
      <w:szCs w:val="26"/>
    </w:rPr>
  </w:style>
  <w:style w:type="paragraph" w:styleId="Verzeichnis7">
    <w:name w:val="toc 7"/>
    <w:basedOn w:val="Standard"/>
    <w:next w:val="Standard"/>
    <w:autoRedefine/>
    <w:semiHidden/>
    <w:pPr>
      <w:spacing w:before="60"/>
      <w:ind w:left="170"/>
    </w:pPr>
    <w:rPr>
      <w:szCs w:val="26"/>
    </w:rPr>
  </w:style>
  <w:style w:type="paragraph" w:styleId="Verzeichnis8">
    <w:name w:val="toc 8"/>
    <w:basedOn w:val="Standard"/>
    <w:next w:val="Standard"/>
    <w:autoRedefine/>
    <w:semiHidden/>
    <w:rPr>
      <w:rFonts w:ascii="Times New Roman" w:hAnsi="Times New Roman"/>
      <w:szCs w:val="26"/>
    </w:rPr>
  </w:style>
  <w:style w:type="paragraph" w:styleId="Verzeichnis9">
    <w:name w:val="toc 9"/>
    <w:basedOn w:val="Standard"/>
    <w:next w:val="Standard"/>
    <w:autoRedefine/>
    <w:semiHidden/>
    <w:rPr>
      <w:rFonts w:ascii="Times New Roman" w:hAnsi="Times New Roman"/>
      <w:szCs w:val="26"/>
    </w:rPr>
  </w:style>
  <w:style w:type="character" w:styleId="Hyperlink">
    <w:name w:val="Hyperlink"/>
    <w:basedOn w:val="Absatz-Standardschriftart"/>
    <w:rPr>
      <w:rFonts w:cs="Times New Roman"/>
      <w:color w:val="000000" w:themeColor="text1"/>
      <w:u w:val="none"/>
    </w:rPr>
  </w:style>
  <w:style w:type="table" w:customStyle="1" w:styleId="Standardtabelle">
    <w:name w:val="Standardtabelle"/>
    <w:rPr>
      <w:rFonts w:ascii="Arial Narrow" w:hAnsi="Arial Narrow"/>
      <w:lang w:val="en-US" w:eastAsia="en-US"/>
    </w:rPr>
    <w:tblPr>
      <w:tblInd w:w="0" w:type="dxa"/>
      <w:tblBorders>
        <w:top w:val="single" w:sz="4" w:space="0" w:color="46166B"/>
        <w:bottom w:val="single" w:sz="4" w:space="0" w:color="46166B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bildungsverzeichnis">
    <w:name w:val="table of figures"/>
    <w:basedOn w:val="Standard"/>
    <w:next w:val="Standard"/>
    <w:semiHidden/>
    <w:pPr>
      <w:spacing w:before="120"/>
      <w:ind w:left="403" w:hanging="403"/>
    </w:pPr>
  </w:style>
  <w:style w:type="paragraph" w:customStyle="1" w:styleId="Organigramm">
    <w:name w:val="Organigramm"/>
    <w:pPr>
      <w:spacing w:before="120"/>
      <w:ind w:left="851"/>
      <w:jc w:val="center"/>
    </w:pPr>
    <w:rPr>
      <w:rFonts w:ascii="Siemens Sans" w:hAnsi="Siemens Sans"/>
      <w:lang w:eastAsia="en-US"/>
    </w:rPr>
  </w:style>
  <w:style w:type="paragraph" w:customStyle="1" w:styleId="TblofContent">
    <w:name w:val="Tbl_of_Content"/>
    <w:next w:val="Standard"/>
    <w:pPr>
      <w:spacing w:before="360" w:after="240"/>
    </w:pPr>
    <w:rPr>
      <w:rFonts w:ascii="Siemens Sans" w:hAnsi="Siemens Sans"/>
      <w:color w:val="005B81"/>
      <w:sz w:val="44"/>
      <w:lang w:val="en-GB" w:eastAsia="en-US"/>
    </w:rPr>
  </w:style>
  <w:style w:type="table" w:styleId="Tabellenraster">
    <w:name w:val="Table Grid"/>
    <w:basedOn w:val="NormaleTabelle"/>
    <w:pPr>
      <w:spacing w:before="2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2black">
    <w:name w:val="header_2 black"/>
    <w:basedOn w:val="Standard"/>
    <w:rPr>
      <w:noProof/>
      <w:sz w:val="24"/>
      <w:lang w:val="en-US"/>
    </w:rPr>
  </w:style>
  <w:style w:type="paragraph" w:customStyle="1" w:styleId="Titel1lila">
    <w:name w:val="Titel_1_lila"/>
    <w:basedOn w:val="Standard"/>
    <w:pPr>
      <w:spacing w:before="3020" w:line="360" w:lineRule="auto"/>
      <w:ind w:left="851"/>
      <w:jc w:val="both"/>
    </w:pPr>
    <w:rPr>
      <w:b/>
      <w:bCs/>
      <w:color w:val="46166B"/>
      <w:sz w:val="32"/>
      <w:szCs w:val="20"/>
    </w:rPr>
  </w:style>
  <w:style w:type="paragraph" w:customStyle="1" w:styleId="Titel2Black">
    <w:name w:val="Titel_2_Black"/>
    <w:basedOn w:val="Standard"/>
    <w:link w:val="Titel2BlackChar"/>
    <w:pPr>
      <w:ind w:left="851"/>
      <w:jc w:val="both"/>
    </w:pPr>
    <w:rPr>
      <w:rFonts w:ascii="Arial Black" w:hAnsi="Arial Black"/>
      <w:sz w:val="32"/>
      <w:szCs w:val="20"/>
    </w:rPr>
  </w:style>
  <w:style w:type="character" w:customStyle="1" w:styleId="Titel2BlackChar">
    <w:name w:val="Titel_2_Black Char"/>
    <w:basedOn w:val="Absatz-Standardschriftart"/>
    <w:link w:val="Titel2Black"/>
    <w:locked/>
    <w:rPr>
      <w:rFonts w:ascii="Arial Black" w:hAnsi="Arial Black" w:cs="Times New Roman"/>
      <w:color w:val="000000"/>
      <w:sz w:val="32"/>
      <w:lang w:val="en-GB" w:eastAsia="en-US" w:bidi="ar-SA"/>
    </w:rPr>
  </w:style>
  <w:style w:type="paragraph" w:styleId="Sprechblasentext">
    <w:name w:val="Balloon Text"/>
    <w:basedOn w:val="Standard"/>
    <w:link w:val="SprechblasentextZchn"/>
    <w:semiHidden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locked/>
    <w:rPr>
      <w:rFonts w:cs="Times New Roman"/>
      <w:color w:val="000000"/>
      <w:sz w:val="2"/>
      <w:lang w:val="en-GB" w:eastAsia="x-none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TableContentwhite">
    <w:name w:val="Table Content (white)"/>
    <w:basedOn w:val="TableContent"/>
    <w:qFormat/>
    <w:rPr>
      <w:b/>
      <w:noProof/>
      <w:color w:val="FFFFFF" w:themeColor="background1"/>
      <w:lang w:val="en-US"/>
    </w:rPr>
  </w:style>
  <w:style w:type="paragraph" w:customStyle="1" w:styleId="FPTitle">
    <w:name w:val="FP Title"/>
    <w:basedOn w:val="Standard"/>
    <w:qFormat/>
    <w:pPr>
      <w:spacing w:before="10320"/>
    </w:pPr>
    <w:rPr>
      <w:color w:val="FFFFFF" w:themeColor="background1"/>
      <w:sz w:val="72"/>
      <w:szCs w:val="72"/>
    </w:rPr>
  </w:style>
  <w:style w:type="paragraph" w:customStyle="1" w:styleId="FPSubtitle">
    <w:name w:val="FP Subtitle"/>
    <w:basedOn w:val="Standard"/>
    <w:qFormat/>
    <w:pPr>
      <w:spacing w:before="420"/>
    </w:pPr>
    <w:rPr>
      <w:b/>
      <w:color w:val="FFFFFF" w:themeColor="background1"/>
      <w:sz w:val="26"/>
      <w:szCs w:val="26"/>
    </w:rPr>
  </w:style>
  <w:style w:type="paragraph" w:customStyle="1" w:styleId="Copyright">
    <w:name w:val="Copyright"/>
    <w:basedOn w:val="Standard"/>
    <w:qFormat/>
    <w:rPr>
      <w:noProof/>
      <w:sz w:val="13"/>
      <w:lang w:val="en-US"/>
    </w:rPr>
  </w:style>
  <w:style w:type="paragraph" w:customStyle="1" w:styleId="TitleHeadline">
    <w:name w:val="Title Headline"/>
    <w:basedOn w:val="Standard"/>
    <w:qFormat/>
    <w:rPr>
      <w:color w:val="FFFFFF" w:themeColor="background1"/>
      <w:spacing w:val="-14"/>
      <w:sz w:val="60"/>
      <w:szCs w:val="60"/>
    </w:rPr>
  </w:style>
  <w:style w:type="paragraph" w:customStyle="1" w:styleId="TitleText1">
    <w:name w:val="Title Text 1"/>
    <w:basedOn w:val="TitleHeadline"/>
    <w:next w:val="TitleText2"/>
    <w:qFormat/>
    <w:pPr>
      <w:spacing w:before="180"/>
    </w:pPr>
    <w:rPr>
      <w:b/>
      <w:sz w:val="28"/>
    </w:rPr>
  </w:style>
  <w:style w:type="paragraph" w:customStyle="1" w:styleId="TitleText2">
    <w:name w:val="Title Text 2"/>
    <w:basedOn w:val="TitleHeadline"/>
    <w:qFormat/>
    <w:rPr>
      <w:b/>
      <w:sz w:val="28"/>
    </w:rPr>
  </w:style>
  <w:style w:type="paragraph" w:customStyle="1" w:styleId="Infotext">
    <w:name w:val="Infotext"/>
    <w:basedOn w:val="Standard"/>
    <w:qFormat/>
    <w:pPr>
      <w:spacing w:before="20"/>
    </w:pPr>
    <w:rPr>
      <w:lang w:val="de-DE"/>
    </w:rPr>
  </w:style>
  <w:style w:type="paragraph" w:customStyle="1" w:styleId="TableContentBullet">
    <w:name w:val="Table Content Bullet"/>
    <w:basedOn w:val="TableContent"/>
    <w:qFormat/>
    <w:pPr>
      <w:numPr>
        <w:numId w:val="16"/>
      </w:numPr>
    </w:pPr>
    <w:rPr>
      <w:noProof/>
      <w:lang w:val="en-US"/>
    </w:rPr>
  </w:style>
  <w:style w:type="paragraph" w:customStyle="1" w:styleId="TableContentgrey">
    <w:name w:val="Table Content (grey)"/>
    <w:basedOn w:val="TableContentwhite"/>
    <w:qFormat/>
    <w:rPr>
      <w:color w:val="8CA3AF"/>
    </w:rPr>
  </w:style>
  <w:style w:type="paragraph" w:customStyle="1" w:styleId="Textlegal">
    <w:name w:val="Text legal"/>
    <w:basedOn w:val="TableContent"/>
    <w:qFormat/>
    <w:rPr>
      <w:noProof/>
      <w:sz w:val="13"/>
      <w:lang w:val="de-DE"/>
    </w:rPr>
  </w:style>
  <w:style w:type="paragraph" w:customStyle="1" w:styleId="TextAddress">
    <w:name w:val="Text Address"/>
    <w:basedOn w:val="TableContent"/>
    <w:qFormat/>
    <w:rPr>
      <w:noProof/>
      <w:sz w:val="15"/>
      <w:lang w:val="de-DE"/>
    </w:rPr>
  </w:style>
  <w:style w:type="paragraph" w:customStyle="1" w:styleId="medapstxt05">
    <w:name w:val="medaps_txt_05"/>
    <w:basedOn w:val="Standard"/>
    <w:pPr>
      <w:spacing w:before="90" w:after="90"/>
    </w:pPr>
    <w:rPr>
      <w:rFonts w:ascii="Times New Roman" w:hAnsi="Times New Roman"/>
      <w:color w:val="333333"/>
      <w:sz w:val="17"/>
      <w:szCs w:val="17"/>
      <w:lang w:val="en-US"/>
    </w:rPr>
  </w:style>
  <w:style w:type="paragraph" w:customStyle="1" w:styleId="cell">
    <w:name w:val="cell"/>
    <w:basedOn w:val="Standard"/>
    <w:rPr>
      <w:rFonts w:ascii="Times New Roman" w:hAnsi="Times New Roman"/>
      <w:color w:val="333333"/>
      <w:sz w:val="24"/>
      <w:lang w:val="en-US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locked/>
    <w:pPr>
      <w:spacing w:before="100" w:beforeAutospacing="1" w:after="100" w:afterAutospacing="1"/>
    </w:pPr>
    <w:rPr>
      <w:rFonts w:ascii="Times New Roman" w:hAnsi="Times New Roman"/>
      <w:color w:val="auto"/>
      <w:sz w:val="24"/>
      <w:lang w:val="de-DE" w:eastAsia="de-DE"/>
    </w:rPr>
  </w:style>
  <w:style w:type="character" w:styleId="BesuchterHyperlink">
    <w:name w:val="FollowedHyperlink"/>
    <w:basedOn w:val="Absatz-Standardschriftart"/>
    <w:locked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 w:semiHidden="1" w:unhideWhenUs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Siemens Sans" w:hAnsi="Siemens Sans"/>
      <w:color w:val="000000"/>
      <w:sz w:val="18"/>
      <w:szCs w:val="24"/>
      <w:lang w:val="en-GB" w:eastAsia="en-US"/>
    </w:rPr>
  </w:style>
  <w:style w:type="paragraph" w:styleId="berschrift1">
    <w:name w:val="heading 1"/>
    <w:basedOn w:val="Standard"/>
    <w:next w:val="Standard"/>
    <w:link w:val="berschrift1Zchn"/>
    <w:qFormat/>
    <w:pPr>
      <w:keepNext/>
      <w:numPr>
        <w:numId w:val="1"/>
      </w:numPr>
      <w:spacing w:before="600" w:after="240"/>
      <w:ind w:left="454" w:hanging="454"/>
      <w:outlineLvl w:val="0"/>
    </w:pPr>
    <w:rPr>
      <w:rFonts w:cs="Arial"/>
      <w:bCs/>
      <w:color w:val="005B81"/>
      <w:kern w:val="32"/>
      <w:sz w:val="44"/>
    </w:rPr>
  </w:style>
  <w:style w:type="paragraph" w:styleId="berschrift2">
    <w:name w:val="heading 2"/>
    <w:basedOn w:val="Standard"/>
    <w:next w:val="Standard"/>
    <w:link w:val="berschrift2Zchn"/>
    <w:qFormat/>
    <w:pPr>
      <w:keepNext/>
      <w:numPr>
        <w:ilvl w:val="1"/>
        <w:numId w:val="1"/>
      </w:numPr>
      <w:spacing w:before="480" w:after="240"/>
      <w:ind w:left="454" w:hanging="454"/>
      <w:outlineLvl w:val="1"/>
    </w:pPr>
    <w:rPr>
      <w:rFonts w:cs="Arial"/>
      <w:b/>
      <w:bCs/>
      <w:iCs/>
      <w:color w:val="B1AFA1"/>
      <w:sz w:val="24"/>
      <w:szCs w:val="28"/>
    </w:rPr>
  </w:style>
  <w:style w:type="paragraph" w:styleId="berschrift3">
    <w:name w:val="heading 3"/>
    <w:basedOn w:val="Standard"/>
    <w:next w:val="Standard"/>
    <w:link w:val="berschrift3Zchn"/>
    <w:qFormat/>
    <w:pPr>
      <w:keepNext/>
      <w:numPr>
        <w:ilvl w:val="2"/>
        <w:numId w:val="1"/>
      </w:numPr>
      <w:spacing w:before="360"/>
      <w:ind w:left="709" w:hanging="709"/>
      <w:outlineLvl w:val="2"/>
    </w:pPr>
    <w:rPr>
      <w:rFonts w:cs="Arial"/>
      <w:b/>
      <w:bCs/>
      <w:color w:val="B1AFA1"/>
      <w:sz w:val="24"/>
    </w:rPr>
  </w:style>
  <w:style w:type="paragraph" w:styleId="berschrift4">
    <w:name w:val="heading 4"/>
    <w:basedOn w:val="Standard"/>
    <w:next w:val="Standard"/>
    <w:link w:val="berschrift4Zchn"/>
    <w:qFormat/>
    <w:pPr>
      <w:keepNext/>
      <w:numPr>
        <w:ilvl w:val="3"/>
        <w:numId w:val="1"/>
      </w:numPr>
      <w:tabs>
        <w:tab w:val="clear" w:pos="864"/>
      </w:tabs>
      <w:spacing w:before="360"/>
      <w:ind w:left="851" w:hanging="851"/>
      <w:outlineLvl w:val="3"/>
    </w:pPr>
    <w:rPr>
      <w:b/>
      <w:bCs/>
      <w:color w:val="B1AFA1"/>
      <w:sz w:val="24"/>
      <w:szCs w:val="28"/>
    </w:rPr>
  </w:style>
  <w:style w:type="paragraph" w:styleId="berschrift5">
    <w:name w:val="heading 5"/>
    <w:basedOn w:val="berschrift4"/>
    <w:next w:val="Standard"/>
    <w:link w:val="berschrift5Zchn"/>
    <w:qFormat/>
    <w:pPr>
      <w:numPr>
        <w:ilvl w:val="4"/>
      </w:numPr>
      <w:tabs>
        <w:tab w:val="clear" w:pos="1008"/>
      </w:tabs>
      <w:ind w:left="1077" w:hanging="1077"/>
      <w:outlineLvl w:val="4"/>
    </w:pPr>
    <w:rPr>
      <w:bCs w:val="0"/>
      <w:iCs/>
      <w:szCs w:val="26"/>
    </w:rPr>
  </w:style>
  <w:style w:type="paragraph" w:styleId="berschrift6">
    <w:name w:val="heading 6"/>
    <w:basedOn w:val="berschrift4"/>
    <w:next w:val="Standard"/>
    <w:link w:val="berschrift6Zchn"/>
    <w:qFormat/>
    <w:pPr>
      <w:numPr>
        <w:ilvl w:val="5"/>
      </w:numPr>
      <w:outlineLvl w:val="5"/>
    </w:pPr>
    <w:rPr>
      <w:bCs w:val="0"/>
      <w:szCs w:val="22"/>
    </w:rPr>
  </w:style>
  <w:style w:type="paragraph" w:styleId="berschrift7">
    <w:name w:val="heading 7"/>
    <w:basedOn w:val="berschrift4"/>
    <w:next w:val="Standard"/>
    <w:link w:val="berschrift7Zchn"/>
    <w:qFormat/>
    <w:pPr>
      <w:numPr>
        <w:ilvl w:val="6"/>
      </w:numPr>
      <w:outlineLvl w:val="6"/>
    </w:pPr>
    <w:rPr>
      <w:sz w:val="20"/>
    </w:rPr>
  </w:style>
  <w:style w:type="paragraph" w:styleId="berschrift8">
    <w:name w:val="heading 8"/>
    <w:basedOn w:val="Standard"/>
    <w:next w:val="Standard"/>
    <w:link w:val="berschrift8Zchn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qFormat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locked/>
    <w:rPr>
      <w:rFonts w:ascii="Arial" w:hAnsi="Arial" w:cs="Arial"/>
      <w:bCs/>
      <w:color w:val="005B81"/>
      <w:kern w:val="32"/>
      <w:sz w:val="44"/>
      <w:szCs w:val="24"/>
      <w:lang w:val="en-GB" w:eastAsia="en-US"/>
    </w:rPr>
  </w:style>
  <w:style w:type="character" w:customStyle="1" w:styleId="berschrift2Zchn">
    <w:name w:val="Überschrift 2 Zchn"/>
    <w:basedOn w:val="Absatz-Standardschriftart"/>
    <w:link w:val="berschrift2"/>
    <w:locked/>
    <w:rPr>
      <w:rFonts w:ascii="Arial" w:hAnsi="Arial" w:cs="Arial"/>
      <w:b/>
      <w:bCs/>
      <w:iCs/>
      <w:color w:val="B1AFA1"/>
      <w:sz w:val="24"/>
      <w:szCs w:val="28"/>
      <w:lang w:val="en-GB" w:eastAsia="en-US"/>
    </w:rPr>
  </w:style>
  <w:style w:type="character" w:customStyle="1" w:styleId="berschrift3Zchn">
    <w:name w:val="Überschrift 3 Zchn"/>
    <w:basedOn w:val="Absatz-Standardschriftart"/>
    <w:link w:val="berschrift3"/>
    <w:locked/>
    <w:rPr>
      <w:rFonts w:ascii="Arial" w:hAnsi="Arial" w:cs="Arial"/>
      <w:b/>
      <w:bCs/>
      <w:color w:val="B1AFA1"/>
      <w:sz w:val="24"/>
      <w:szCs w:val="24"/>
      <w:lang w:val="en-GB" w:eastAsia="en-US"/>
    </w:rPr>
  </w:style>
  <w:style w:type="character" w:customStyle="1" w:styleId="berschrift4Zchn">
    <w:name w:val="Überschrift 4 Zchn"/>
    <w:basedOn w:val="Absatz-Standardschriftart"/>
    <w:link w:val="berschrift4"/>
    <w:locked/>
    <w:rPr>
      <w:rFonts w:ascii="Arial" w:hAnsi="Arial"/>
      <w:b/>
      <w:bCs/>
      <w:color w:val="B1AFA1"/>
      <w:sz w:val="24"/>
      <w:szCs w:val="28"/>
      <w:lang w:val="en-GB" w:eastAsia="en-US"/>
    </w:rPr>
  </w:style>
  <w:style w:type="character" w:customStyle="1" w:styleId="berschrift5Zchn">
    <w:name w:val="Überschrift 5 Zchn"/>
    <w:basedOn w:val="Absatz-Standardschriftart"/>
    <w:link w:val="berschrift5"/>
    <w:locked/>
    <w:rPr>
      <w:rFonts w:ascii="Arial" w:hAnsi="Arial"/>
      <w:b/>
      <w:iCs/>
      <w:color w:val="A9A998"/>
      <w:sz w:val="24"/>
      <w:szCs w:val="26"/>
      <w:lang w:val="en-GB" w:eastAsia="en-US"/>
    </w:rPr>
  </w:style>
  <w:style w:type="character" w:customStyle="1" w:styleId="berschrift6Zchn">
    <w:name w:val="Überschrift 6 Zchn"/>
    <w:basedOn w:val="Absatz-Standardschriftart"/>
    <w:link w:val="berschrift6"/>
    <w:locked/>
    <w:rPr>
      <w:rFonts w:ascii="Arial" w:hAnsi="Arial"/>
      <w:b/>
      <w:color w:val="A9A998"/>
      <w:sz w:val="24"/>
      <w:szCs w:val="22"/>
      <w:lang w:val="en-GB" w:eastAsia="en-US"/>
    </w:rPr>
  </w:style>
  <w:style w:type="character" w:customStyle="1" w:styleId="berschrift7Zchn">
    <w:name w:val="Überschrift 7 Zchn"/>
    <w:basedOn w:val="Absatz-Standardschriftart"/>
    <w:link w:val="berschrift7"/>
    <w:semiHidden/>
    <w:locked/>
    <w:rPr>
      <w:rFonts w:ascii="Calibri" w:hAnsi="Calibri" w:cs="Times New Roman"/>
      <w:color w:val="000000"/>
      <w:sz w:val="24"/>
      <w:szCs w:val="24"/>
      <w:lang w:val="en-GB" w:eastAsia="x-none"/>
    </w:rPr>
  </w:style>
  <w:style w:type="character" w:customStyle="1" w:styleId="berschrift8Zchn">
    <w:name w:val="Überschrift 8 Zchn"/>
    <w:basedOn w:val="Absatz-Standardschriftart"/>
    <w:link w:val="berschrift8"/>
    <w:semiHidden/>
    <w:locked/>
    <w:rPr>
      <w:rFonts w:ascii="Calibri" w:hAnsi="Calibri" w:cs="Times New Roman"/>
      <w:i/>
      <w:iCs/>
      <w:color w:val="000000"/>
      <w:sz w:val="24"/>
      <w:szCs w:val="24"/>
      <w:lang w:val="en-GB" w:eastAsia="x-none"/>
    </w:rPr>
  </w:style>
  <w:style w:type="character" w:customStyle="1" w:styleId="berschrift9Zchn">
    <w:name w:val="Überschrift 9 Zchn"/>
    <w:basedOn w:val="Absatz-Standardschriftart"/>
    <w:link w:val="berschrift9"/>
    <w:semiHidden/>
    <w:locked/>
    <w:rPr>
      <w:rFonts w:ascii="Cambria" w:hAnsi="Cambria" w:cs="Times New Roman"/>
      <w:color w:val="000000"/>
      <w:lang w:val="en-GB" w:eastAsia="x-none"/>
    </w:rPr>
  </w:style>
  <w:style w:type="paragraph" w:styleId="Kopfzeile">
    <w:name w:val="header"/>
    <w:basedOn w:val="Standard"/>
    <w:link w:val="KopfzeileZchn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basedOn w:val="Absatz-Standardschriftart"/>
    <w:link w:val="Kopfzeile"/>
    <w:semiHidden/>
    <w:locked/>
    <w:rPr>
      <w:rFonts w:ascii="Arial" w:hAnsi="Arial" w:cs="Times New Roman"/>
      <w:color w:val="000000"/>
      <w:sz w:val="24"/>
      <w:szCs w:val="24"/>
      <w:lang w:val="en-GB" w:eastAsia="x-none"/>
    </w:rPr>
  </w:style>
  <w:style w:type="paragraph" w:customStyle="1" w:styleId="Titel3black">
    <w:name w:val="Titel_3_black"/>
    <w:basedOn w:val="Standard"/>
    <w:pPr>
      <w:spacing w:before="240" w:after="60" w:line="360" w:lineRule="auto"/>
      <w:ind w:left="851"/>
    </w:pPr>
    <w:rPr>
      <w:sz w:val="32"/>
      <w:szCs w:val="20"/>
    </w:rPr>
  </w:style>
  <w:style w:type="paragraph" w:customStyle="1" w:styleId="header1purple">
    <w:name w:val="header_1 purple"/>
    <w:basedOn w:val="Standard"/>
    <w:rPr>
      <w:color w:val="46166B"/>
    </w:rPr>
  </w:style>
  <w:style w:type="paragraph" w:styleId="Fuzeile">
    <w:name w:val="footer"/>
    <w:basedOn w:val="Standard"/>
    <w:link w:val="FuzeileZchn"/>
    <w:pPr>
      <w:tabs>
        <w:tab w:val="center" w:pos="4153"/>
        <w:tab w:val="right" w:pos="8306"/>
      </w:tabs>
    </w:pPr>
    <w:rPr>
      <w:color w:val="auto"/>
      <w:sz w:val="12"/>
      <w:szCs w:val="20"/>
    </w:rPr>
  </w:style>
  <w:style w:type="character" w:customStyle="1" w:styleId="FuzeileZchn">
    <w:name w:val="Fußzeile Zchn"/>
    <w:basedOn w:val="Absatz-Standardschriftart"/>
    <w:link w:val="Fuzeile"/>
    <w:semiHidden/>
    <w:locked/>
    <w:rPr>
      <w:rFonts w:ascii="Arial" w:hAnsi="Arial" w:cs="Times New Roman"/>
      <w:color w:val="000000"/>
      <w:sz w:val="24"/>
      <w:szCs w:val="24"/>
      <w:lang w:val="en-GB" w:eastAsia="x-none"/>
    </w:rPr>
  </w:style>
  <w:style w:type="character" w:styleId="Seitenzahl">
    <w:name w:val="page number"/>
    <w:basedOn w:val="Absatz-Standardschriftart"/>
    <w:rPr>
      <w:rFonts w:ascii="Siemens Sans" w:hAnsi="Siemens Sans" w:cs="Times New Roman"/>
      <w:sz w:val="16"/>
      <w:lang w:val="en-GB" w:eastAsia="x-none"/>
    </w:rPr>
  </w:style>
  <w:style w:type="paragraph" w:styleId="Verzeichnis3">
    <w:name w:val="toc 3"/>
    <w:basedOn w:val="Standard"/>
    <w:next w:val="Standard"/>
    <w:autoRedefine/>
    <w:uiPriority w:val="39"/>
    <w:pPr>
      <w:spacing w:before="60"/>
      <w:ind w:left="227"/>
    </w:pPr>
    <w:rPr>
      <w:color w:val="B1AFA1"/>
      <w:szCs w:val="26"/>
    </w:rPr>
  </w:style>
  <w:style w:type="paragraph" w:customStyle="1" w:styleId="PartX">
    <w:name w:val="Part_X"/>
    <w:pPr>
      <w:spacing w:before="400"/>
      <w:ind w:left="851"/>
      <w:jc w:val="center"/>
    </w:pPr>
    <w:rPr>
      <w:rFonts w:ascii="Siemens Sans" w:hAnsi="Siemens Sans"/>
      <w:color w:val="000000"/>
      <w:sz w:val="32"/>
      <w:lang w:val="en-GB" w:eastAsia="en-US"/>
    </w:rPr>
  </w:style>
  <w:style w:type="paragraph" w:customStyle="1" w:styleId="PSD">
    <w:name w:val="PSD"/>
    <w:pPr>
      <w:spacing w:before="400"/>
      <w:ind w:left="851"/>
      <w:jc w:val="center"/>
    </w:pPr>
    <w:rPr>
      <w:rFonts w:ascii="Siemens Sans" w:hAnsi="Siemens Sans"/>
      <w:color w:val="000000"/>
      <w:sz w:val="32"/>
      <w:lang w:val="en-GB" w:eastAsia="en-US"/>
    </w:rPr>
  </w:style>
  <w:style w:type="paragraph" w:customStyle="1" w:styleId="Bullets">
    <w:name w:val="Bullets"/>
    <w:basedOn w:val="Standard"/>
    <w:pPr>
      <w:numPr>
        <w:numId w:val="4"/>
      </w:numPr>
    </w:pPr>
    <w:rPr>
      <w:color w:val="auto"/>
      <w:lang w:val="de-DE"/>
    </w:rPr>
  </w:style>
  <w:style w:type="paragraph" w:customStyle="1" w:styleId="ListenAuto">
    <w:name w:val="Listen_Auto"/>
    <w:basedOn w:val="Standard"/>
    <w:pPr>
      <w:numPr>
        <w:numId w:val="5"/>
      </w:numPr>
    </w:pPr>
  </w:style>
  <w:style w:type="paragraph" w:customStyle="1" w:styleId="ListenManuel">
    <w:name w:val="Listen_Manuel"/>
    <w:basedOn w:val="Standard"/>
    <w:pPr>
      <w:ind w:left="431" w:hanging="431"/>
    </w:pPr>
  </w:style>
  <w:style w:type="paragraph" w:customStyle="1" w:styleId="Figure">
    <w:name w:val="Figure"/>
    <w:next w:val="Standard"/>
    <w:pPr>
      <w:spacing w:before="120"/>
    </w:pPr>
    <w:rPr>
      <w:rFonts w:ascii="Siemens Sans" w:hAnsi="Siemens Sans"/>
      <w:i/>
      <w:sz w:val="16"/>
      <w:lang w:val="en-GB" w:eastAsia="en-US"/>
    </w:rPr>
  </w:style>
  <w:style w:type="paragraph" w:customStyle="1" w:styleId="PullQuote">
    <w:name w:val="Pull Quote"/>
    <w:next w:val="Standard"/>
    <w:pPr>
      <w:pBdr>
        <w:top w:val="single" w:sz="24" w:space="1" w:color="46166B"/>
        <w:bottom w:val="single" w:sz="12" w:space="1" w:color="999999"/>
      </w:pBdr>
      <w:spacing w:before="120" w:after="120"/>
      <w:ind w:left="851"/>
      <w:jc w:val="center"/>
    </w:pPr>
    <w:rPr>
      <w:rFonts w:ascii="Siemens Sans" w:hAnsi="Siemens Sans"/>
      <w:b/>
      <w:sz w:val="24"/>
      <w:lang w:eastAsia="en-US"/>
    </w:rPr>
  </w:style>
  <w:style w:type="paragraph" w:customStyle="1" w:styleId="TableTitel">
    <w:name w:val="Table Titel"/>
    <w:pPr>
      <w:spacing w:before="60" w:after="60"/>
      <w:ind w:left="57"/>
    </w:pPr>
    <w:rPr>
      <w:rFonts w:ascii="Siemens Sans" w:hAnsi="Siemens Sans"/>
      <w:b/>
      <w:color w:val="FFFFFF" w:themeColor="background1"/>
      <w:sz w:val="18"/>
      <w:lang w:val="en-GB" w:eastAsia="en-US"/>
    </w:rPr>
  </w:style>
  <w:style w:type="paragraph" w:customStyle="1" w:styleId="TableContent">
    <w:name w:val="Table Content"/>
    <w:pPr>
      <w:spacing w:before="60" w:after="60"/>
      <w:ind w:left="57"/>
    </w:pPr>
    <w:rPr>
      <w:rFonts w:ascii="Siemens Sans" w:hAnsi="Siemens Sans"/>
      <w:sz w:val="18"/>
      <w:lang w:val="en-GB" w:eastAsia="en-US"/>
    </w:rPr>
  </w:style>
  <w:style w:type="paragraph" w:customStyle="1" w:styleId="TableSubtitel">
    <w:name w:val="Table Subtitel"/>
    <w:pPr>
      <w:spacing w:before="120" w:after="120"/>
      <w:ind w:left="113"/>
    </w:pPr>
    <w:rPr>
      <w:rFonts w:ascii="Siemens Sans" w:hAnsi="Siemens Sans"/>
      <w:b/>
      <w:lang w:val="en-GB" w:eastAsia="en-US"/>
    </w:rPr>
  </w:style>
  <w:style w:type="paragraph" w:customStyle="1" w:styleId="BulletFirst">
    <w:name w:val="Bullet First"/>
    <w:basedOn w:val="Bullets"/>
    <w:next w:val="Bullets"/>
    <w:pPr>
      <w:spacing w:before="280"/>
    </w:pPr>
    <w:rPr>
      <w:lang w:val="en-GB"/>
    </w:rPr>
  </w:style>
  <w:style w:type="paragraph" w:styleId="Verzeichnis1">
    <w:name w:val="toc 1"/>
    <w:basedOn w:val="Standard"/>
    <w:next w:val="Standard"/>
    <w:autoRedefine/>
    <w:uiPriority w:val="39"/>
    <w:pPr>
      <w:tabs>
        <w:tab w:val="left" w:pos="227"/>
        <w:tab w:val="right" w:leader="dot" w:pos="9639"/>
      </w:tabs>
      <w:spacing w:before="120"/>
      <w:ind w:left="340" w:hanging="340"/>
    </w:pPr>
    <w:rPr>
      <w:b/>
      <w:bCs/>
      <w:caps/>
      <w:noProof/>
      <w:color w:val="005B81"/>
      <w:szCs w:val="26"/>
      <w:lang w:val="de-DE"/>
    </w:rPr>
  </w:style>
  <w:style w:type="paragraph" w:styleId="Verzeichnis2">
    <w:name w:val="toc 2"/>
    <w:basedOn w:val="Standard"/>
    <w:next w:val="Standard"/>
    <w:autoRedefine/>
    <w:uiPriority w:val="39"/>
    <w:pPr>
      <w:tabs>
        <w:tab w:val="left" w:pos="640"/>
        <w:tab w:val="right" w:leader="dot" w:pos="9854"/>
      </w:tabs>
      <w:spacing w:before="60"/>
      <w:ind w:left="227"/>
    </w:pPr>
    <w:rPr>
      <w:bCs/>
      <w:noProof/>
      <w:color w:val="B1AFA1"/>
      <w:szCs w:val="26"/>
      <w:lang w:val="de-DE"/>
    </w:rPr>
  </w:style>
  <w:style w:type="paragraph" w:styleId="Verzeichnis4">
    <w:name w:val="toc 4"/>
    <w:basedOn w:val="Standard"/>
    <w:next w:val="Standard"/>
    <w:autoRedefine/>
    <w:uiPriority w:val="39"/>
    <w:pPr>
      <w:tabs>
        <w:tab w:val="left" w:pos="940"/>
        <w:tab w:val="right" w:leader="dot" w:pos="9854"/>
      </w:tabs>
      <w:spacing w:before="60"/>
      <w:ind w:left="227"/>
    </w:pPr>
    <w:rPr>
      <w:color w:val="B1AFA1"/>
      <w:szCs w:val="26"/>
    </w:rPr>
  </w:style>
  <w:style w:type="paragraph" w:styleId="Verzeichnis5">
    <w:name w:val="toc 5"/>
    <w:basedOn w:val="Standard"/>
    <w:next w:val="Standard"/>
    <w:autoRedefine/>
    <w:uiPriority w:val="39"/>
    <w:pPr>
      <w:spacing w:before="60"/>
      <w:ind w:left="227"/>
    </w:pPr>
    <w:rPr>
      <w:color w:val="A9A998"/>
      <w:szCs w:val="26"/>
    </w:rPr>
  </w:style>
  <w:style w:type="paragraph" w:styleId="Verzeichnis6">
    <w:name w:val="toc 6"/>
    <w:basedOn w:val="Standard"/>
    <w:next w:val="Standard"/>
    <w:autoRedefine/>
    <w:semiHidden/>
    <w:pPr>
      <w:spacing w:before="60"/>
      <w:ind w:left="170"/>
    </w:pPr>
    <w:rPr>
      <w:szCs w:val="26"/>
    </w:rPr>
  </w:style>
  <w:style w:type="paragraph" w:styleId="Verzeichnis7">
    <w:name w:val="toc 7"/>
    <w:basedOn w:val="Standard"/>
    <w:next w:val="Standard"/>
    <w:autoRedefine/>
    <w:semiHidden/>
    <w:pPr>
      <w:spacing w:before="60"/>
      <w:ind w:left="170"/>
    </w:pPr>
    <w:rPr>
      <w:szCs w:val="26"/>
    </w:rPr>
  </w:style>
  <w:style w:type="paragraph" w:styleId="Verzeichnis8">
    <w:name w:val="toc 8"/>
    <w:basedOn w:val="Standard"/>
    <w:next w:val="Standard"/>
    <w:autoRedefine/>
    <w:semiHidden/>
    <w:rPr>
      <w:rFonts w:ascii="Times New Roman" w:hAnsi="Times New Roman"/>
      <w:szCs w:val="26"/>
    </w:rPr>
  </w:style>
  <w:style w:type="paragraph" w:styleId="Verzeichnis9">
    <w:name w:val="toc 9"/>
    <w:basedOn w:val="Standard"/>
    <w:next w:val="Standard"/>
    <w:autoRedefine/>
    <w:semiHidden/>
    <w:rPr>
      <w:rFonts w:ascii="Times New Roman" w:hAnsi="Times New Roman"/>
      <w:szCs w:val="26"/>
    </w:rPr>
  </w:style>
  <w:style w:type="character" w:styleId="Hyperlink">
    <w:name w:val="Hyperlink"/>
    <w:basedOn w:val="Absatz-Standardschriftart"/>
    <w:rPr>
      <w:rFonts w:cs="Times New Roman"/>
      <w:color w:val="000000" w:themeColor="text1"/>
      <w:u w:val="none"/>
    </w:rPr>
  </w:style>
  <w:style w:type="table" w:customStyle="1" w:styleId="Standardtabelle">
    <w:name w:val="Standardtabelle"/>
    <w:rPr>
      <w:rFonts w:ascii="Arial Narrow" w:hAnsi="Arial Narrow"/>
      <w:lang w:val="en-US" w:eastAsia="en-US"/>
    </w:rPr>
    <w:tblPr>
      <w:tblInd w:w="0" w:type="dxa"/>
      <w:tblBorders>
        <w:top w:val="single" w:sz="4" w:space="0" w:color="46166B"/>
        <w:bottom w:val="single" w:sz="4" w:space="0" w:color="46166B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bildungsverzeichnis">
    <w:name w:val="table of figures"/>
    <w:basedOn w:val="Standard"/>
    <w:next w:val="Standard"/>
    <w:semiHidden/>
    <w:pPr>
      <w:spacing w:before="120"/>
      <w:ind w:left="403" w:hanging="403"/>
    </w:pPr>
  </w:style>
  <w:style w:type="paragraph" w:customStyle="1" w:styleId="Organigramm">
    <w:name w:val="Organigramm"/>
    <w:pPr>
      <w:spacing w:before="120"/>
      <w:ind w:left="851"/>
      <w:jc w:val="center"/>
    </w:pPr>
    <w:rPr>
      <w:rFonts w:ascii="Siemens Sans" w:hAnsi="Siemens Sans"/>
      <w:lang w:eastAsia="en-US"/>
    </w:rPr>
  </w:style>
  <w:style w:type="paragraph" w:customStyle="1" w:styleId="TblofContent">
    <w:name w:val="Tbl_of_Content"/>
    <w:next w:val="Standard"/>
    <w:pPr>
      <w:spacing w:before="360" w:after="240"/>
    </w:pPr>
    <w:rPr>
      <w:rFonts w:ascii="Siemens Sans" w:hAnsi="Siemens Sans"/>
      <w:color w:val="005B81"/>
      <w:sz w:val="44"/>
      <w:lang w:val="en-GB" w:eastAsia="en-US"/>
    </w:rPr>
  </w:style>
  <w:style w:type="table" w:styleId="Tabellenraster">
    <w:name w:val="Table Grid"/>
    <w:basedOn w:val="NormaleTabelle"/>
    <w:pPr>
      <w:spacing w:before="2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2black">
    <w:name w:val="header_2 black"/>
    <w:basedOn w:val="Standard"/>
    <w:rPr>
      <w:noProof/>
      <w:sz w:val="24"/>
      <w:lang w:val="en-US"/>
    </w:rPr>
  </w:style>
  <w:style w:type="paragraph" w:customStyle="1" w:styleId="Titel1lila">
    <w:name w:val="Titel_1_lila"/>
    <w:basedOn w:val="Standard"/>
    <w:pPr>
      <w:spacing w:before="3020" w:line="360" w:lineRule="auto"/>
      <w:ind w:left="851"/>
      <w:jc w:val="both"/>
    </w:pPr>
    <w:rPr>
      <w:b/>
      <w:bCs/>
      <w:color w:val="46166B"/>
      <w:sz w:val="32"/>
      <w:szCs w:val="20"/>
    </w:rPr>
  </w:style>
  <w:style w:type="paragraph" w:customStyle="1" w:styleId="Titel2Black">
    <w:name w:val="Titel_2_Black"/>
    <w:basedOn w:val="Standard"/>
    <w:link w:val="Titel2BlackChar"/>
    <w:pPr>
      <w:ind w:left="851"/>
      <w:jc w:val="both"/>
    </w:pPr>
    <w:rPr>
      <w:rFonts w:ascii="Arial Black" w:hAnsi="Arial Black"/>
      <w:sz w:val="32"/>
      <w:szCs w:val="20"/>
    </w:rPr>
  </w:style>
  <w:style w:type="character" w:customStyle="1" w:styleId="Titel2BlackChar">
    <w:name w:val="Titel_2_Black Char"/>
    <w:basedOn w:val="Absatz-Standardschriftart"/>
    <w:link w:val="Titel2Black"/>
    <w:locked/>
    <w:rPr>
      <w:rFonts w:ascii="Arial Black" w:hAnsi="Arial Black" w:cs="Times New Roman"/>
      <w:color w:val="000000"/>
      <w:sz w:val="32"/>
      <w:lang w:val="en-GB" w:eastAsia="en-US" w:bidi="ar-SA"/>
    </w:rPr>
  </w:style>
  <w:style w:type="paragraph" w:styleId="Sprechblasentext">
    <w:name w:val="Balloon Text"/>
    <w:basedOn w:val="Standard"/>
    <w:link w:val="SprechblasentextZchn"/>
    <w:semiHidden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locked/>
    <w:rPr>
      <w:rFonts w:cs="Times New Roman"/>
      <w:color w:val="000000"/>
      <w:sz w:val="2"/>
      <w:lang w:val="en-GB" w:eastAsia="x-none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TableContentwhite">
    <w:name w:val="Table Content (white)"/>
    <w:basedOn w:val="TableContent"/>
    <w:qFormat/>
    <w:rPr>
      <w:b/>
      <w:noProof/>
      <w:color w:val="FFFFFF" w:themeColor="background1"/>
      <w:lang w:val="en-US"/>
    </w:rPr>
  </w:style>
  <w:style w:type="paragraph" w:customStyle="1" w:styleId="FPTitle">
    <w:name w:val="FP Title"/>
    <w:basedOn w:val="Standard"/>
    <w:qFormat/>
    <w:pPr>
      <w:spacing w:before="10320"/>
    </w:pPr>
    <w:rPr>
      <w:color w:val="FFFFFF" w:themeColor="background1"/>
      <w:sz w:val="72"/>
      <w:szCs w:val="72"/>
    </w:rPr>
  </w:style>
  <w:style w:type="paragraph" w:customStyle="1" w:styleId="FPSubtitle">
    <w:name w:val="FP Subtitle"/>
    <w:basedOn w:val="Standard"/>
    <w:qFormat/>
    <w:pPr>
      <w:spacing w:before="420"/>
    </w:pPr>
    <w:rPr>
      <w:b/>
      <w:color w:val="FFFFFF" w:themeColor="background1"/>
      <w:sz w:val="26"/>
      <w:szCs w:val="26"/>
    </w:rPr>
  </w:style>
  <w:style w:type="paragraph" w:customStyle="1" w:styleId="Copyright">
    <w:name w:val="Copyright"/>
    <w:basedOn w:val="Standard"/>
    <w:qFormat/>
    <w:rPr>
      <w:noProof/>
      <w:sz w:val="13"/>
      <w:lang w:val="en-US"/>
    </w:rPr>
  </w:style>
  <w:style w:type="paragraph" w:customStyle="1" w:styleId="TitleHeadline">
    <w:name w:val="Title Headline"/>
    <w:basedOn w:val="Standard"/>
    <w:qFormat/>
    <w:rPr>
      <w:color w:val="FFFFFF" w:themeColor="background1"/>
      <w:spacing w:val="-14"/>
      <w:sz w:val="60"/>
      <w:szCs w:val="60"/>
    </w:rPr>
  </w:style>
  <w:style w:type="paragraph" w:customStyle="1" w:styleId="TitleText1">
    <w:name w:val="Title Text 1"/>
    <w:basedOn w:val="TitleHeadline"/>
    <w:next w:val="TitleText2"/>
    <w:qFormat/>
    <w:pPr>
      <w:spacing w:before="180"/>
    </w:pPr>
    <w:rPr>
      <w:b/>
      <w:sz w:val="28"/>
    </w:rPr>
  </w:style>
  <w:style w:type="paragraph" w:customStyle="1" w:styleId="TitleText2">
    <w:name w:val="Title Text 2"/>
    <w:basedOn w:val="TitleHeadline"/>
    <w:qFormat/>
    <w:rPr>
      <w:b/>
      <w:sz w:val="28"/>
    </w:rPr>
  </w:style>
  <w:style w:type="paragraph" w:customStyle="1" w:styleId="Infotext">
    <w:name w:val="Infotext"/>
    <w:basedOn w:val="Standard"/>
    <w:qFormat/>
    <w:pPr>
      <w:spacing w:before="20"/>
    </w:pPr>
    <w:rPr>
      <w:lang w:val="de-DE"/>
    </w:rPr>
  </w:style>
  <w:style w:type="paragraph" w:customStyle="1" w:styleId="TableContentBullet">
    <w:name w:val="Table Content Bullet"/>
    <w:basedOn w:val="TableContent"/>
    <w:qFormat/>
    <w:pPr>
      <w:numPr>
        <w:numId w:val="16"/>
      </w:numPr>
    </w:pPr>
    <w:rPr>
      <w:noProof/>
      <w:lang w:val="en-US"/>
    </w:rPr>
  </w:style>
  <w:style w:type="paragraph" w:customStyle="1" w:styleId="TableContentgrey">
    <w:name w:val="Table Content (grey)"/>
    <w:basedOn w:val="TableContentwhite"/>
    <w:qFormat/>
    <w:rPr>
      <w:color w:val="8CA3AF"/>
    </w:rPr>
  </w:style>
  <w:style w:type="paragraph" w:customStyle="1" w:styleId="Textlegal">
    <w:name w:val="Text legal"/>
    <w:basedOn w:val="TableContent"/>
    <w:qFormat/>
    <w:rPr>
      <w:noProof/>
      <w:sz w:val="13"/>
      <w:lang w:val="de-DE"/>
    </w:rPr>
  </w:style>
  <w:style w:type="paragraph" w:customStyle="1" w:styleId="TextAddress">
    <w:name w:val="Text Address"/>
    <w:basedOn w:val="TableContent"/>
    <w:qFormat/>
    <w:rPr>
      <w:noProof/>
      <w:sz w:val="15"/>
      <w:lang w:val="de-DE"/>
    </w:rPr>
  </w:style>
  <w:style w:type="paragraph" w:customStyle="1" w:styleId="medapstxt05">
    <w:name w:val="medaps_txt_05"/>
    <w:basedOn w:val="Standard"/>
    <w:pPr>
      <w:spacing w:before="90" w:after="90"/>
    </w:pPr>
    <w:rPr>
      <w:rFonts w:ascii="Times New Roman" w:hAnsi="Times New Roman"/>
      <w:color w:val="333333"/>
      <w:sz w:val="17"/>
      <w:szCs w:val="17"/>
      <w:lang w:val="en-US"/>
    </w:rPr>
  </w:style>
  <w:style w:type="paragraph" w:customStyle="1" w:styleId="cell">
    <w:name w:val="cell"/>
    <w:basedOn w:val="Standard"/>
    <w:rPr>
      <w:rFonts w:ascii="Times New Roman" w:hAnsi="Times New Roman"/>
      <w:color w:val="333333"/>
      <w:sz w:val="24"/>
      <w:lang w:val="en-US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locked/>
    <w:pPr>
      <w:spacing w:before="100" w:beforeAutospacing="1" w:after="100" w:afterAutospacing="1"/>
    </w:pPr>
    <w:rPr>
      <w:rFonts w:ascii="Times New Roman" w:hAnsi="Times New Roman"/>
      <w:color w:val="auto"/>
      <w:sz w:val="24"/>
      <w:lang w:val="de-DE" w:eastAsia="de-DE"/>
    </w:rPr>
  </w:style>
  <w:style w:type="character" w:styleId="BesuchterHyperlink">
    <w:name w:val="FollowedHyperlink"/>
    <w:basedOn w:val="Absatz-Standardschriftart"/>
    <w:locked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13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9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7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37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03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275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157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20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609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4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13601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6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6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2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3app.siemens.com/mcms/infocenter/dokumentencenter/sc/ic/Documentsu20Brochures/IE_Verkabelungstechnik_DE_Web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siemens.de/tia-selection-tool/start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3app.siemens.com/mcms/infocenter/dokumentencenter/sc/ic/Documentsu20Brochures/Bestelluebersicht_IE_Switches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3.siemens.com/mcms/industrial-communication/de/ie/industrial-ethernet-switches-medienkonverter/Seiten/scalance-x-200-managed.aspx?tabcardname=scalance%20xp-200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3.siemens.com/mcms/industrial-communication/de/ie/industrial-ethernet-switches-medienkonverter/Seiten/scalance-x-200-managed.aspx?tabcardname=scalance%20xp-20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003DW8E\AppData\Local\Microsoft\Windows\Temporary%20Internet%20Files\Content.Outlook\FHUR6KNG\EGH_75200_Template_Produkt-Basisinformationen_v3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1A1F9-9EEC-488E-9A8B-B8E6A5E6C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EGH_75200_Template_Produkt-Basisinformationen_v3.dotx</Template>
  <TotalTime>0</TotalTime>
  <Pages>2</Pages>
  <Words>535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Template</vt:lpstr>
    </vt:vector>
  </TitlesOfParts>
  <Company>Siemens AG</Company>
  <LinksUpToDate>false</LinksUpToDate>
  <CharactersWithSpaces>4557</CharactersWithSpaces>
  <SharedDoc>false</SharedDoc>
  <HLinks>
    <vt:vector size="24" baseType="variant">
      <vt:variant>
        <vt:i4>1114169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_Toc168390931</vt:lpwstr>
      </vt:variant>
      <vt:variant>
        <vt:i4>1114169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_Toc168390930</vt:lpwstr>
      </vt:variant>
      <vt:variant>
        <vt:i4>1048633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_Toc168390929</vt:lpwstr>
      </vt:variant>
      <vt:variant>
        <vt:i4>1179705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_Toc168390900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</dc:title>
  <dc:creator>Lohrmann, Kristina</dc:creator>
  <cp:keywords>C_Restricted</cp:keywords>
  <dc:description>Template build by tianberlin</dc:description>
  <cp:lastModifiedBy>Fenske, Cordula</cp:lastModifiedBy>
  <cp:revision>5</cp:revision>
  <cp:lastPrinted>2018-01-11T16:05:00Z</cp:lastPrinted>
  <dcterms:created xsi:type="dcterms:W3CDTF">2018-04-19T12:47:00Z</dcterms:created>
  <dcterms:modified xsi:type="dcterms:W3CDTF">2018-06-26T07:48:00Z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Confidentiality">
    <vt:lpwstr>Restricted</vt:lpwstr>
  </property>
  <property fmtid="{D5CDD505-2E9C-101B-9397-08002B2CF9AE}" pid="3" name="_AdHocReviewCycleID">
    <vt:i4>-868380014</vt:i4>
  </property>
  <property fmtid="{D5CDD505-2E9C-101B-9397-08002B2CF9AE}" pid="4" name="_NewReviewCycle">
    <vt:lpwstr/>
  </property>
  <property fmtid="{D5CDD505-2E9C-101B-9397-08002B2CF9AE}" pid="5" name="_EmailSubject">
    <vt:lpwstr>для сайта и рассылки по CI</vt:lpwstr>
  </property>
  <property fmtid="{D5CDD505-2E9C-101B-9397-08002B2CF9AE}" pid="6" name="_AuthorEmail">
    <vt:lpwstr>dmitry.gavrikov@siemens.com</vt:lpwstr>
  </property>
  <property fmtid="{D5CDD505-2E9C-101B-9397-08002B2CF9AE}" pid="7" name="_AuthorEmailDisplayName">
    <vt:lpwstr>Gavrikov, Dmitry (RC-RU PD PA CI)</vt:lpwstr>
  </property>
</Properties>
</file>