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/>
        </w:rPr>
      </w:pPr>
      <w:bookmarkStart w:id="0" w:name="_GoBack"/>
      <w:bookmarkEnd w:id="0"/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rPr>
          <w:trHeight w:val="1133"/>
        </w:trPr>
        <w:tc>
          <w:tcPr>
            <w:tcW w:w="6521" w:type="dxa"/>
          </w:tcPr>
          <w:p>
            <w:pPr>
              <w:pStyle w:val="medapstxt05"/>
              <w:rPr>
                <w:rFonts w:ascii="Arial" w:hAnsi="Arial"/>
                <w:lang w:val="ru"/>
              </w:rPr>
            </w:pPr>
            <w:r>
              <w:rPr>
                <w:rFonts w:ascii="Arial" w:hAnsi="Arial"/>
                <w:lang w:val="ru"/>
              </w:rPr>
              <w:t>Коммутаторы SCALANCE XF-200 предназначены, прежде всего, для использования с децентрализованными периферическими системами. Благодаря корпусу с дизайном ET 200 (плоская конструкция) эти устройства оптимальны для интеграции в решения для автоматизации в небольших распределительных коробках вместе с системами ET 200. Различные варианты продукта с электрическими и оптическими портами позволяют проектировать сети Industrial Ethernet с линейной и кольцевой структурой или со структурой типа «звезда».</w:t>
            </w:r>
          </w:p>
          <w:p>
            <w:pPr>
              <w:pStyle w:val="medapstxt05"/>
              <w:rPr>
                <w:rFonts w:ascii="Siemens Sans" w:hAnsi="Siemens Sans"/>
                <w:lang w:val="ru"/>
              </w:rPr>
            </w:pPr>
            <w:r>
              <w:rPr>
                <w:rFonts w:ascii="Arial" w:hAnsi="Arial"/>
                <w:lang w:val="ru"/>
              </w:rPr>
              <w:t>SCALANCE XF-200BA от Siemens – это компактные коммутаторы Industrial Ethernet с дизайном ET 200SP. Благодаря печатной плате с конформным покрытием и температурному диапазону от -40 °C до +70 °C, управляемые коммутаторы идеально подходят для использования в промышленной среде. Для использования при автоматизации процессов они соответствуют рекомендациям NAMUR NE 21.</w:t>
            </w:r>
          </w:p>
        </w:tc>
        <w:tc>
          <w:tcPr>
            <w:tcW w:w="3343" w:type="dxa"/>
            <w:vMerge w:val="restart"/>
          </w:tcPr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850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850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  <w:lang w:val="ru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48260</wp:posOffset>
                  </wp:positionV>
                  <wp:extent cx="1030605" cy="1619885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9" t="4845" r="7378" b="22468"/>
                          <a:stretch/>
                        </pic:blipFill>
                        <pic:spPr bwMode="auto">
                          <a:xfrm>
                            <a:off x="0" y="0"/>
                            <a:ext cx="103060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843"/>
              </w:tabs>
              <w:rPr>
                <w:rFonts w:ascii="Arial" w:hAnsi="Arial"/>
                <w:lang w:val="ru"/>
              </w:rPr>
            </w:pPr>
          </w:p>
          <w:p>
            <w:pPr>
              <w:pStyle w:val="Infotext"/>
              <w:tabs>
                <w:tab w:val="left" w:pos="1843"/>
              </w:tabs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1843"/>
              </w:tabs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992"/>
              </w:tabs>
            </w:pPr>
            <w:r>
              <w:rPr>
                <w:rFonts w:ascii="Arial" w:hAnsi="Arial"/>
                <w:noProof/>
                <w:sz w:val="17"/>
                <w:szCs w:val="17"/>
                <w:lang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734695</wp:posOffset>
                  </wp:positionV>
                  <wp:extent cx="1338580" cy="1628775"/>
                  <wp:effectExtent l="0" t="0" r="0" b="9525"/>
                  <wp:wrapNone/>
                  <wp:docPr id="12" name="Grafik 12" descr="https://mall.industry.siemens.com/collaterals/files/49/JPG/P_IK10_XX_02257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ll.industry.siemens.com/collaterals/files/49/JPG/P_IK10_XX_02257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lang w:val="ru"/>
              </w:rPr>
              <w:tab/>
              <w:t>SCALANCE XF204-2</w:t>
            </w:r>
          </w:p>
        </w:tc>
      </w:tr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tcBorders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Проектирование линейных и кольцевых структур Industrial Ethernet или структур типа «звезда» для сетей с высоким уровнем доступности и возможностью дистанционной диагностики при автоматизации производственных процессов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Экономия места в шкафу управления и возможность использования небольших распределительных коробок благодаря плоской конструкции в формате децентрализованной периферической системы ET 200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Широкие возможности использования благодаря наличию различных функций (VLAN, HRP stand by, MRP, SNMP, RSTP)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 xml:space="preserve">Комплексная диагностика через SNMP, интегрированный веб-сервер и CLI, дополнительно – простая диагностика на месте благодаря наличию выделенной светодиодной секции </w:t>
            </w:r>
          </w:p>
        </w:tc>
        <w:tc>
          <w:tcPr>
            <w:tcW w:w="3343" w:type="dxa"/>
          </w:tcPr>
          <w:p>
            <w:pPr>
              <w:pStyle w:val="Infotext"/>
              <w:tabs>
                <w:tab w:val="left" w:pos="1843"/>
              </w:tabs>
              <w:rPr>
                <w:noProof/>
                <w:lang w:val="en-GB"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Быстрая замена устройств в случае неисправности благодаря использованию опционального съемного модуля памяти C</w:t>
            </w:r>
            <w:r>
              <w:rPr>
                <w:rFonts w:ascii="Arial" w:hAnsi="Arial"/>
                <w:lang w:val="ru"/>
              </w:rPr>
              <w:noBreakHyphen/>
              <w:t>PLUG</w:t>
            </w:r>
          </w:p>
        </w:tc>
        <w:tc>
          <w:tcPr>
            <w:tcW w:w="3343" w:type="dxa"/>
          </w:tcPr>
          <w:p>
            <w:pPr>
              <w:tabs>
                <w:tab w:val="left" w:pos="850"/>
              </w:tabs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417"/>
              <w:rPr>
                <w:rFonts w:ascii="Arial" w:hAnsi="Arial"/>
                <w:lang w:val="ru"/>
              </w:rPr>
            </w:pPr>
          </w:p>
        </w:tc>
        <w:tc>
          <w:tcPr>
            <w:tcW w:w="3343" w:type="dxa"/>
          </w:tcPr>
          <w:p>
            <w:pPr>
              <w:tabs>
                <w:tab w:val="left" w:pos="850"/>
              </w:tabs>
              <w:rPr>
                <w:noProof/>
              </w:rPr>
            </w:pPr>
            <w:r>
              <w:rPr>
                <w:rFonts w:ascii="Arial" w:hAnsi="Arial"/>
                <w:lang w:val="ru"/>
              </w:rPr>
              <w:tab/>
              <w:t>SCALANCE XF204-2BA</w:t>
            </w:r>
          </w:p>
        </w:tc>
      </w:tr>
    </w:tbl>
    <w:p>
      <w:pPr>
        <w:tabs>
          <w:tab w:val="left" w:pos="6521"/>
        </w:tabs>
        <w:rPr>
          <w:rFonts w:ascii="Arial" w:hAnsi="Arial"/>
          <w:noProof/>
          <w:lang w:eastAsia="zh-CN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>SCALANCE XF-200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Управляемые коммутаторы Industrial Ethernet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Мощные и плоские</w:t>
                            </w:r>
                          </w:p>
                          <w:p>
                            <w:pPr>
                              <w:pStyle w:val="FPSubtitl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216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6mm,3mm">
                  <w:txbxContent>
                    <w:p w:rsidR="009240BF" w:rsidRPr="00150173" w:rsidRDefault="000A65F3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150173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>SCALANCE XF-200</w:t>
                      </w:r>
                    </w:p>
                    <w:p w:rsidR="009240BF" w:rsidRPr="00150173" w:rsidRDefault="000A65F3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50173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Управляемые коммутаторы Industrial Ethernet</w:t>
                      </w:r>
                    </w:p>
                    <w:p w:rsidR="009240BF" w:rsidRPr="00150173" w:rsidRDefault="000A65F3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50173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Мощные и плоские</w:t>
                      </w:r>
                    </w:p>
                    <w:p w:rsidR="009240BF" w:rsidRPr="00150173" w:rsidRDefault="000A65F3">
                      <w:pPr>
                        <w:pStyle w:val="FPSubtitle"/>
                        <w:rPr>
                          <w:rFonts w:ascii="Arial" w:hAnsi="Arial"/>
                        </w:rPr>
                      </w:pPr>
                      <w:r w:rsidRPr="00150173">
                        <w:rPr>
                          <w:rFonts w:ascii="Arial" w:hAnsi="Arial"/>
                          <w:bCs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>
      <w:pPr>
        <w:rPr>
          <w:rFonts w:ascii="Arial" w:hAnsi="Arial"/>
          <w:noProof/>
          <w:lang w:eastAsia="zh-CN"/>
        </w:rPr>
      </w:pPr>
      <w:r>
        <w:rPr>
          <w:rFonts w:ascii="Arial" w:hAnsi="Arial"/>
          <w:noProof/>
          <w:lang w:eastAsia="zh-CN"/>
        </w:rPr>
        <w:br w:type="page"/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lastRenderedPageBreak/>
              <w:t>Основные особенности</w:t>
            </w:r>
          </w:p>
        </w:tc>
        <w:tc>
          <w:tcPr>
            <w:tcW w:w="3343" w:type="dxa"/>
            <w:vMerge w:val="restart"/>
            <w:shd w:val="clear" w:color="auto" w:fill="auto"/>
          </w:tcPr>
          <w:p>
            <w:pPr>
              <w:pStyle w:val="Infotext"/>
              <w:rPr>
                <w:rFonts w:ascii="Arial" w:hAnsi="Arial"/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Эксплуатация во взрывоопасных зонах (ATEX Zone 2, IECEx)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SCALANCE XF-200BA обладают особыми свойствами для использования при автоматизации процессов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Шинный адаптер BA 2xRJ45VD HA, наряду со стандартной коммуникацией Ethernet с помощью 4 проводных линий (витых пар), позволяет реализовать также передачу данных с помощью 2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проводных линий (одна витая пара). Таким образом, можно продолжать использовать существующие инфраструктуры PROFIBUS DP.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  <w:lang w:val="ru"/>
              </w:rPr>
            </w:pPr>
          </w:p>
        </w:tc>
      </w:tr>
    </w:tbl>
    <w:p>
      <w:pPr>
        <w:rPr>
          <w:rFonts w:ascii="Arial" w:hAnsi="Arial"/>
          <w:noProof/>
          <w:lang w:val="ru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36"/>
        <w:gridCol w:w="2167"/>
        <w:gridCol w:w="411"/>
        <w:gridCol w:w="1237"/>
        <w:gridCol w:w="443"/>
        <w:gridCol w:w="2918"/>
      </w:tblGrid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 xml:space="preserve">Примеры использования </w:t>
            </w:r>
          </w:p>
        </w:tc>
      </w:tr>
      <w:tr>
        <w:trPr>
          <w:trHeight w:val="2925"/>
        </w:trPr>
        <w:tc>
          <w:tcPr>
            <w:tcW w:w="9864" w:type="dxa"/>
            <w:gridSpan w:val="7"/>
            <w:shd w:val="clear" w:color="auto" w:fill="auto"/>
          </w:tcPr>
          <w:p>
            <w:pPr>
              <w:tabs>
                <w:tab w:val="left" w:pos="5954"/>
              </w:tabs>
              <w:ind w:left="142"/>
              <w:rPr>
                <w:rFonts w:ascii="Arial" w:hAnsi="Arial"/>
                <w:noProof/>
                <w:lang w:val="ru" w:eastAsia="zh-CN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716981" cy="1800000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8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lang w:val="ru"/>
              </w:rPr>
              <w:tab/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57600" cy="1440000"/>
                  <wp:effectExtent l="0" t="0" r="0" b="8255"/>
                  <wp:docPr id="6" name="Grafik 6" descr="http://w3.siemens.com/mcms/industrial-communication/en/ie/industrial-ethernet-switches-media-converters/PublishingImages/portlet-2a-x-200-managed-layer-2/englisch_13072015/scalance-xf-200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3.siemens.com/mcms/industrial-communication/en/ie/industrial-ethernet-switches-media-converters/PublishingImages/portlet-2a-x-200-managed-layer-2/englisch_13072015/scalance-xf-200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val="ru"/>
              </w:rPr>
              <w:br/>
              <w:t>Кольцевая топология со SCALANCE XC-200 и XF-200</w:t>
            </w:r>
            <w:r>
              <w:rPr>
                <w:rFonts w:ascii="Arial" w:hAnsi="Arial"/>
                <w:noProof/>
                <w:lang w:val="ru"/>
              </w:rPr>
              <w:tab/>
              <w:t xml:space="preserve">Соединение с децентрализованными периферическими системамм </w:t>
            </w:r>
            <w:r>
              <w:rPr>
                <w:rFonts w:ascii="Arial" w:hAnsi="Arial"/>
                <w:noProof/>
                <w:lang w:val="ru"/>
              </w:rPr>
              <w:tab/>
              <w:t xml:space="preserve">SIMATIC ET 200 со SCALANCE XF-200 </w:t>
            </w:r>
          </w:p>
          <w:p>
            <w:pPr>
              <w:tabs>
                <w:tab w:val="left" w:pos="5954"/>
              </w:tabs>
              <w:spacing w:before="0"/>
              <w:ind w:left="142"/>
              <w:rPr>
                <w:noProof/>
                <w:lang w:val="ru" w:eastAsia="zh-CN"/>
              </w:rPr>
            </w:pP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Ассортимент продукции в деталях</w:t>
            </w:r>
          </w:p>
        </w:tc>
      </w:tr>
      <w:tr>
        <w:tc>
          <w:tcPr>
            <w:tcW w:w="2552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Изделие</w:t>
            </w:r>
          </w:p>
        </w:tc>
        <w:tc>
          <w:tcPr>
            <w:tcW w:w="4394" w:type="dxa"/>
            <w:gridSpan w:val="5"/>
            <w:shd w:val="clear" w:color="auto" w:fill="D5DEE4"/>
          </w:tcPr>
          <w:p>
            <w:pPr>
              <w:pStyle w:val="TableContentwhite"/>
              <w:rPr>
                <w:color w:val="8CA3AF"/>
              </w:rPr>
            </w:pPr>
            <w:r>
              <w:rPr>
                <w:rFonts w:ascii="Arial" w:hAnsi="Arial"/>
                <w:bCs/>
                <w:color w:val="8CA3AF"/>
                <w:lang w:val="ru"/>
              </w:rPr>
              <w:t>Описание</w:t>
            </w:r>
          </w:p>
        </w:tc>
        <w:tc>
          <w:tcPr>
            <w:tcW w:w="2918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XF204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4 порта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6GK5204-0BA00-2AF2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ru"/>
              </w:rPr>
              <w:t>SCALANCE XF208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ru"/>
              </w:rPr>
              <w:t>8 портов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6GK5208-0BA00-2AF2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XF204-2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color w:val="333333"/>
                <w:sz w:val="17"/>
                <w:szCs w:val="17"/>
                <w:lang w:val="ru"/>
              </w:rPr>
              <w:t>4 порта RJ45, 10/100 Мбит/с</w:t>
            </w:r>
            <w:r>
              <w:rPr>
                <w:rFonts w:ascii="Arial" w:hAnsi="Arial"/>
                <w:color w:val="333333"/>
                <w:sz w:val="17"/>
                <w:szCs w:val="17"/>
                <w:lang w:val="ru"/>
              </w:rPr>
              <w:br/>
              <w:t xml:space="preserve">2 порта BFOC, 100 Мбит/с </w:t>
            </w:r>
            <w:r>
              <w:rPr>
                <w:rFonts w:ascii="Arial" w:hAnsi="Arial"/>
                <w:noProof/>
                <w:lang w:val="ru"/>
              </w:rPr>
              <w:t xml:space="preserve">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6GK5204-2BC00-2AF2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ru"/>
              </w:rPr>
              <w:t>SCALANCE XF206-1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color w:val="333333"/>
                <w:sz w:val="17"/>
                <w:szCs w:val="17"/>
                <w:lang w:val="ru"/>
              </w:rPr>
              <w:t>6 портов RJ45, 10/100 Мбит/с</w:t>
            </w:r>
            <w:r>
              <w:rPr>
                <w:rFonts w:ascii="Arial" w:hAnsi="Arial"/>
                <w:color w:val="333333"/>
                <w:sz w:val="17"/>
                <w:szCs w:val="17"/>
                <w:lang w:val="ru"/>
              </w:rPr>
              <w:br/>
              <w:t xml:space="preserve">1 порт BFOC, 100 Мбит/с </w:t>
            </w:r>
            <w:r>
              <w:rPr>
                <w:rFonts w:ascii="Arial" w:hAnsi="Arial"/>
                <w:noProof/>
                <w:lang w:val="ru"/>
              </w:rPr>
              <w:t xml:space="preserve">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6GK5206-1BC00-2AF2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 xml:space="preserve">Дополнительно для использования при автоматизации производственных процессов </w:t>
            </w:r>
            <w:r>
              <w:rPr>
                <w:rFonts w:ascii="Arial" w:hAnsi="Arial"/>
                <w:b w:val="0"/>
                <w:sz w:val="16"/>
                <w:szCs w:val="16"/>
                <w:lang w:val="ru"/>
              </w:rPr>
              <w:t>(конформное покрытие, диапазон температур от -40 °C до +70 °C):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XF204-2BA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 интерфейса для шинного адаптера для 4 портов, 10/100 Мбит/с</w:t>
            </w:r>
            <w:r>
              <w:rPr>
                <w:rFonts w:ascii="Arial" w:hAnsi="Arial" w:hint="eastAsia"/>
                <w:noProof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lang w:val="ru"/>
              </w:rPr>
              <w:t xml:space="preserve">с дизайном ET 200SP для автоматизации производственных процессов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(без шинного адаптера)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6GK5204-2AA00-2GF2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XF204-2BA DNA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 интерфейса для шинного адаптера для 4 портов, 10/100 Мбит/с</w:t>
            </w:r>
            <w:r>
              <w:rPr>
                <w:rFonts w:ascii="Arial" w:hAnsi="Arial" w:hint="eastAsia"/>
                <w:noProof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lang w:val="ru"/>
              </w:rPr>
              <w:t>Функция Dual Network Access (DNA или также</w:t>
            </w:r>
            <w:r>
              <w:rPr>
                <w:rFonts w:ascii="Arial" w:hAnsi="Arial" w:hint="eastAsia"/>
                <w:noProof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lang w:val="ru"/>
              </w:rPr>
              <w:t>функция Y-Switch); специально для использования с резервными системами SIMATIC S7-400H при автоматизации производственных процессов (без шинного адаптера)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6GK5204-2AA00-2YF2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Аксессуары для XF-200BA (некоторые примеры):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Шинный адаптер BA 2xRJ45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 порта RJ45 для Industrial Ethernet и PROFINET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6ES7193-6AR00-0AA0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Шинный адаптер BA 2xFC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 порта Fast Connect для Industrial Ethernet и</w:t>
            </w:r>
            <w:r>
              <w:rPr>
                <w:rFonts w:ascii="Arial" w:hAnsi="Arial"/>
                <w:noProof/>
                <w:lang w:val="en-US"/>
              </w:rPr>
              <w:t> </w:t>
            </w:r>
            <w:r>
              <w:rPr>
                <w:rFonts w:ascii="Arial" w:hAnsi="Arial"/>
                <w:noProof/>
                <w:lang w:val="ru"/>
              </w:rPr>
              <w:t>PROFINET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6ES7193-6AF00-0AA0</w:t>
            </w:r>
          </w:p>
        </w:tc>
      </w:tr>
      <w:tr>
        <w:tc>
          <w:tcPr>
            <w:tcW w:w="2552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Шинный адаптер BA 2xRJ45VD HA</w:t>
            </w:r>
          </w:p>
        </w:tc>
        <w:tc>
          <w:tcPr>
            <w:tcW w:w="4394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 xml:space="preserve">2 порта RJ45 для Industrial Ethernet и PROFINET, для коммуникации Ethernet с использованием 2-,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 xml:space="preserve">4- или 8-жильных медных кабелей, конформное покрытие, расширенный </w:t>
            </w:r>
            <w:r>
              <w:rPr>
                <w:rFonts w:ascii="Arial" w:hAnsi="Arial"/>
                <w:lang w:val="ru"/>
              </w:rPr>
              <w:t>диапазон температур от -40 °C до +70 °C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6GK5991-2VA00-8AA2</w:t>
            </w:r>
          </w:p>
        </w:tc>
      </w:tr>
      <w:tr>
        <w:tc>
          <w:tcPr>
            <w:tcW w:w="9864" w:type="dxa"/>
            <w:gridSpan w:val="7"/>
          </w:tcPr>
          <w:p>
            <w:pPr>
              <w:pStyle w:val="TableContentBullet"/>
              <w:numPr>
                <w:ilvl w:val="0"/>
                <w:numId w:val="0"/>
              </w:numPr>
              <w:rPr>
                <w:rFonts w:ascii="Arial" w:hAnsi="Arial"/>
              </w:rPr>
            </w:pPr>
          </w:p>
          <w:p>
            <w:pPr>
              <w:pStyle w:val="TableContentBullet"/>
              <w:ind w:left="66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Подробную информацию о вариантах устройства и принадлежностях см. в обзоре для заказа</w:t>
            </w:r>
            <w:r>
              <w:rPr>
                <w:rFonts w:ascii="Arial" w:hAnsi="Arial" w:hint="eastAsia"/>
                <w:lang w:val="ru" w:eastAsia="zh-CN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/>
                  <w:lang w:val="ru"/>
                </w:rPr>
                <w:t>«SCALANCE X – управляемые коммутаторы Industrial Ethernet»</w:t>
              </w:r>
            </w:hyperlink>
            <w:r>
              <w:rPr>
                <w:rFonts w:ascii="Arial" w:hAnsi="Arial"/>
                <w:lang w:val="ru"/>
              </w:rPr>
              <w:t xml:space="preserve"> и в руководстве по выбору TIA Selection Tool: </w:t>
            </w:r>
            <w:hyperlink r:id="rId14" w:history="1">
              <w:r>
                <w:rPr>
                  <w:rStyle w:val="Hyperlink"/>
                  <w:rFonts w:ascii="Arial" w:hAnsi="Arial"/>
                  <w:lang w:val="ru"/>
                </w:rPr>
                <w:t>www.siemens.com/tstcloud</w:t>
              </w:r>
            </w:hyperlink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</w:pPr>
            <w:r>
              <w:rPr>
                <w:rFonts w:ascii="Arial" w:hAnsi="Arial"/>
                <w:lang w:val="ru"/>
              </w:rPr>
              <w:t>Информацию о штекерах и кабелях см. в обзоре для заказа «</w:t>
            </w:r>
            <w:hyperlink r:id="rId15" w:history="1">
              <w:r>
                <w:rPr>
                  <w:rStyle w:val="Hyperlink"/>
                  <w:rFonts w:ascii="Arial" w:hAnsi="Arial"/>
                  <w:lang w:val="ru"/>
                </w:rPr>
                <w:t>Кабельные технологии для автоматизации промышленных и энергетических систем</w:t>
              </w:r>
            </w:hyperlink>
            <w:r>
              <w:rPr>
                <w:rFonts w:ascii="Arial" w:hAnsi="Arial"/>
                <w:lang w:val="ru"/>
              </w:rPr>
              <w:t>»</w:t>
            </w:r>
          </w:p>
        </w:tc>
      </w:tr>
      <w:tr>
        <w:tc>
          <w:tcPr>
            <w:tcW w:w="4855" w:type="dxa"/>
            <w:gridSpan w:val="3"/>
          </w:tcPr>
          <w:p>
            <w:pPr>
              <w:pStyle w:val="TableContent"/>
              <w:rPr>
                <w:rFonts w:ascii="Arial" w:hAnsi="Arial"/>
                <w:noProof/>
              </w:rPr>
            </w:pPr>
          </w:p>
          <w:p>
            <w:pPr>
              <w:pStyle w:val="TableContent"/>
              <w:rPr>
                <w:noProof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  <w:tc>
          <w:tcPr>
            <w:tcW w:w="3361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</w:tr>
      <w:tr>
        <w:tc>
          <w:tcPr>
            <w:tcW w:w="2688" w:type="dxa"/>
            <w:gridSpan w:val="2"/>
            <w:tcBorders>
              <w:top w:val="single" w:sz="4" w:space="0" w:color="000000" w:themeColor="text1"/>
            </w:tcBorders>
          </w:tcPr>
          <w:p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>
              <w:rPr>
                <w:rFonts w:ascii="Arial" w:hAnsi="Arial"/>
                <w:szCs w:val="15"/>
                <w:lang w:val="ru"/>
              </w:rPr>
              <w:t>Siemens AG</w:t>
            </w:r>
            <w:r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>
              <w:rPr>
                <w:rFonts w:ascii="Arial" w:hAnsi="Arial"/>
                <w:szCs w:val="15"/>
                <w:lang w:val="ru"/>
              </w:rPr>
              <w:t>Process Automation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val="de-DE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  <w:p>
            <w:pPr>
              <w:spacing w:before="0"/>
              <w:rPr>
                <w:sz w:val="15"/>
                <w:szCs w:val="15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 w:themeColor="text1"/>
            </w:tcBorders>
          </w:tcPr>
          <w:p>
            <w:pPr>
              <w:pStyle w:val="TextAddress"/>
              <w:rPr>
                <w:lang w:val="en-GB"/>
              </w:rPr>
            </w:pPr>
            <w:r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598" w:type="dxa"/>
            <w:gridSpan w:val="3"/>
            <w:tcBorders>
              <w:top w:val="single" w:sz="4" w:space="0" w:color="000000" w:themeColor="text1"/>
            </w:tcBorders>
          </w:tcPr>
          <w:p>
            <w:pPr>
              <w:pStyle w:val="Textlegal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этом документе содержат описания или технические характеристики, которые в конкретных случаях использования не 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 четко согласованы в рамках заключенного договора.</w:t>
            </w:r>
          </w:p>
        </w:tc>
      </w:tr>
    </w:tbl>
    <w:p>
      <w:pPr>
        <w:rPr>
          <w:rFonts w:ascii="Arial" w:hAnsi="Arial"/>
          <w:lang w:val="ru"/>
        </w:rPr>
      </w:pPr>
    </w:p>
    <w:sectPr>
      <w:footerReference w:type="default" r:id="rId16"/>
      <w:headerReference w:type="first" r:id="rId17"/>
      <w:footerReference w:type="first" r:id="rId18"/>
      <w:pgSz w:w="11906" w:h="16838" w:code="9"/>
      <w:pgMar w:top="1021" w:right="1021" w:bottom="709" w:left="1021" w:header="43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emens Sans">
    <w:altName w:val="Sitka Small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rFonts w:ascii="Arial" w:hAnsi="Arial"/>
        <w:b/>
        <w:sz w:val="18"/>
      </w:rPr>
    </w:pPr>
    <w:hyperlink r:id="rId1" w:history="1">
      <w:r>
        <w:rPr>
          <w:rStyle w:val="Hyperlink"/>
          <w:rFonts w:ascii="Arial" w:hAnsi="Arial"/>
          <w:b/>
          <w:bCs/>
          <w:sz w:val="18"/>
          <w:lang w:val="ru"/>
        </w:rPr>
        <w:t>siemens.</w:t>
      </w:r>
      <w:proofErr w:type="spellStart"/>
      <w:r>
        <w:rPr>
          <w:rStyle w:val="Hyperlink"/>
          <w:rFonts w:ascii="Arial" w:hAnsi="Arial"/>
          <w:b/>
          <w:bCs/>
          <w:sz w:val="18"/>
          <w:lang w:val="de-DE"/>
        </w:rPr>
        <w:t>com</w:t>
      </w:r>
      <w:proofErr w:type="spellEnd"/>
      <w:r>
        <w:rPr>
          <w:rStyle w:val="Hyperlink"/>
          <w:rFonts w:ascii="Arial" w:hAnsi="Arial"/>
          <w:b/>
          <w:bCs/>
          <w:sz w:val="18"/>
          <w:lang w:val="ru"/>
        </w:rPr>
        <w:t>/xf-200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/xf-200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rPr>
        <w:rFonts w:ascii="Arial" w:hAnsi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9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382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23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21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2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4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A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09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16FA2676"/>
    <w:multiLevelType w:val="hybridMultilevel"/>
    <w:tmpl w:val="6790863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F19B5"/>
    <w:multiLevelType w:val="multilevel"/>
    <w:tmpl w:val="DCC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03C45"/>
    <w:multiLevelType w:val="hybridMultilevel"/>
    <w:tmpl w:val="C778FE0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AD15E6A"/>
    <w:multiLevelType w:val="multilevel"/>
    <w:tmpl w:val="C6F6624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7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E4D146E"/>
    <w:multiLevelType w:val="hybridMultilevel"/>
    <w:tmpl w:val="AF781A3E"/>
    <w:lvl w:ilvl="0" w:tplc="427A8EE2">
      <w:start w:val="1"/>
      <w:numFmt w:val="bullet"/>
      <w:pStyle w:val="TableContentBullet"/>
      <w:lvlText w:val=""/>
      <w:lvlJc w:val="left"/>
      <w:pPr>
        <w:ind w:left="777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3app.siemens.com/mcms/infocenter/dokumentencenter/sc/ic/Documentsu20Brochures/Bestelluebersicht_IE_Switche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3app.siemens.com/mcms/infocenter/dokumentencenter/sc/ic/Documentsu20Brochures/IE_Verkabelungstechnik_DE_Web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iemens.de/tia-selection-tool/st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200-managed.aspx?tabcardname=scalance%20xf-20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200-managed.aspx?tabcardname=scalance%20xf-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3F06-5205-4348-B566-78F45DE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0</TotalTime>
  <Pages>3</Pages>
  <Words>612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5223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C_Restricted</cp:keywords>
  <dc:description>Template build by tianberlin</dc:description>
  <cp:lastModifiedBy>Fenske, Cordula</cp:lastModifiedBy>
  <cp:revision>7</cp:revision>
  <cp:lastPrinted>2018-01-11T16:26:00Z</cp:lastPrinted>
  <dcterms:created xsi:type="dcterms:W3CDTF">2018-04-19T11:26:00Z</dcterms:created>
  <dcterms:modified xsi:type="dcterms:W3CDTF">2018-06-26T07:47:00Z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2053105090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